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9247d8k.htm"/>
      <w:bookmarkStart w:id="1" w:name="ksd1792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AMYLYX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001-41199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46-4600503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55 Cambridge Parkway, Suite 6W</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682-0917</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AMLX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19, 2026, Amylyx Pharmaceuticals, Inc. (“Amylyx” or the “Company”) entered into an underwriting agreement (the “Underwriting Agreement”) with Leerink Partners LLC, Morgan Stanley &amp; Co. LLC, Guggenheim Securities, LLC, and LifeSci Capital LLC, as representatives of the several underwriters named therein (the “Underwriters”), relating to the issuance and sale of an aggregate of 14,090,000 shares (the “Firm Shares”) of the Company’s common stock, par value $0.0001 per share (“Common Stock”), at a price to the public of $35.50 per share (the “Offering”). Pursuant to the Underwriting Agreement, the Company also granted the Underwriters a 30-day option to purchase up to 2,113,500 additional shares of Common Stock at the public offering price less the underwriting discounts and commissions (the “Option Shares” and together with the Firm Shares, the “Shares”). </w:t>
      </w:r>
    </w:p>
    <w:p>
      <w:pPr>
        <w:pStyle w:val="TextBody"/>
        <w:bidi w:val="0"/>
        <w:spacing w:before="240" w:after="0"/>
        <w:jc w:val="left"/>
        <w:rPr>
          <w:rFonts w:ascii="Times New Roman" w:hAnsi="Times New Roman"/>
          <w:sz w:val="20"/>
        </w:rPr>
      </w:pPr>
      <w:r>
        <w:rPr>
          <w:rFonts w:ascii="Times New Roman" w:hAnsi="Times New Roman"/>
          <w:sz w:val="20"/>
        </w:rPr>
        <w:t>The aggregate net proceeds to the Company, after deducting underwriting discounts and commissions and other estimated offering expenses payable by the Company, will be approximately $471.7 million, or approximately $542.5 million if the option to purchase the Option Shares is exercised in full by the Underwriters. Amylyx intends to use the net proceeds from this Offering, together with existing cash, cash equivalents and marketable securities, to fund the potential commercial launch of avexitide in the United States, if approved, including securing additional manufacturing capacity to meet commercial supply requirements, and for research and development, working capital and other general corporate purposes. The Offering is expected to close on August 21, 2026, subject to customary closing conditions. All of the Shares in the Offering are being sold by the Company.</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and warranties, conditions to closing, market standoff provisions, termination provisions and indemnification obligations, including for liabilities under the Securities Act of 1933, as amended. The representations, warranties and covenants contained in the Underwriting Agreement were made only for purposes of such agreement and as of specific dates, and were solely for the benefit of the parties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a prospectus supplement, dated August 19, 2026 (the “Prospectus Supplement”), filed with the U.S. Securities and Exchange Commission (“SEC”) on August 20, 2026, and an accompanying base prospectus that forms a part of the registration statement on Form S-3ASR (File No. 333-293956), which became automatically effective upon filing with the SEC on March 3, 2026. This Current Report on Form 8-K does not constitute an offer to sell or a solicitation of an offer to buy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certain terms of the Underwriting Agreement and the transactions contemplated thereby does not purport to be complete, and is subject to and qualified in its entirety by reference to the full text of the Underwriting Agreement that is filed as Exhibit 1.1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legal opinion of Goodwin Procter LLP relating to the legality of the issuance and sale of the Shares in the Offering is filed as Exhibit 5.1 to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Current Report on Form 8-K regarding matters that are not historical facts are “forward-looking statements” within the meaning of the Private Securities Litigation Reform Act of 1995, as amended, including with respect to the completion of the Offering, the potential exercise by the underwriters of the option to purchase additional shares, the anticipated closing date of the Offering, the expected amount of proceeds from the Offering and the expected use of proceeds from the Offering. No assurance can be given that the Offering discussed above will be completed. Because such statements are subject to risks and uncertainties, actual results may differ materially from those expressed or implied by such forward-looking statements. Any forward-looking statements in this Current Report on Form 8-K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Amylyx’s SEC filings, including Amylyx’s Annual Report on Form 10-K for the year ended December 31, 2025, Quarterly Report on Form 10-Q for the quarterly period ended June 30, 2026, and subsequent filings with the SEC. All forward-looking statements contained in this Current Report on Form 8-K speak only as of the date on which they were made. Amylyx undertakes no obligation to update such statements to reflect events that occur or circumstances that exist after the date on which they were made except as required by law. In light of the foregoing, investors are urged not to rely on any forward-looking statement in reaching any conclusion or making any investment decision about any securities of Amylyx.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79247dex11.htm">
              <w:r>
                <w:rPr>
                  <w:rStyle w:val="InternetLink"/>
                </w:rPr>
                <w:t xml:space="preserve">Underwriting Agreement, dated August 19,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79247dex51.htm">
              <w:r>
                <w:rPr>
                  <w:rStyle w:val="InternetLink"/>
                </w:rPr>
                <w:t xml:space="preserve">Opinion of Goodwin Procter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79247dex51.htm">
              <w:r>
                <w:rPr>
                  <w:rStyle w:val="InternetLink"/>
                </w:rPr>
                <w:t xml:space="preserve">Consent of Goodwin Procter LLP (included in Exhibit 5.1)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06" w:type="dxa"/>
        <w:jc w:val="left"/>
        <w:tblInd w:w="0" w:type="dxa"/>
        <w:tblLayout w:type="fixed"/>
        <w:tblCellMar>
          <w:top w:w="0" w:type="dxa"/>
          <w:left w:w="0" w:type="dxa"/>
          <w:bottom w:w="0" w:type="dxa"/>
          <w:right w:w="0" w:type="dxa"/>
        </w:tblCellMar>
      </w:tblPr>
      <w:tblGrid>
        <w:gridCol w:w="2195"/>
        <w:gridCol w:w="60"/>
        <w:gridCol w:w="23"/>
        <w:gridCol w:w="60"/>
        <w:gridCol w:w="601"/>
        <w:gridCol w:w="98"/>
        <w:gridCol w:w="3669"/>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68" w:type="dxa"/>
            <w:gridSpan w:val="3"/>
            <w:tcBorders/>
            <w:vAlign w:val="center"/>
          </w:tcPr>
          <w:p>
            <w:pPr>
              <w:pStyle w:val="TableContents"/>
              <w:bidi w:val="0"/>
              <w:spacing w:before="0" w:after="283"/>
              <w:jc w:val="left"/>
              <w:rPr>
                <w:b/>
              </w:rPr>
            </w:pPr>
            <w:r>
              <w:rPr>
                <w:b/>
              </w:rPr>
              <w:t>AMYLYX PHARMACEUTICALS,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61" w:type="dxa"/>
            <w:gridSpan w:val="2"/>
            <w:tcBorders/>
            <w:vAlign w:val="center"/>
          </w:tcPr>
          <w:p>
            <w:pPr>
              <w:pStyle w:val="TableContents"/>
              <w:bidi w:val="0"/>
              <w:spacing w:before="0" w:after="283"/>
              <w:jc w:val="left"/>
              <w:rPr>
                <w:sz w:val="4"/>
                <w:szCs w:val="4"/>
              </w:rPr>
            </w:pPr>
            <w:r>
              <w:rPr>
                <w:sz w:val="4"/>
                <w:szCs w:val="4"/>
              </w:rPr>
            </w:r>
          </w:p>
        </w:tc>
        <w:tc>
          <w:tcPr>
            <w:tcW w:w="3767"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By:</w:t>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M. Frates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283"/>
              <w:jc w:val="left"/>
              <w:rPr/>
            </w:pPr>
            <w:r>
              <w:rPr/>
              <w:t>James M. Frates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79247dex11.htm"/>
      <w:bookmarkStart w:id="3" w:name="ksd179247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Amylyx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left"/>
        <w:rPr/>
      </w:pPr>
      <w:r>
        <w:rPr/>
        <w:t> </w:t>
      </w:r>
    </w:p>
    <w:p>
      <w:pPr>
        <w:pStyle w:val="TextBody"/>
        <w:bidi w:val="0"/>
        <w:spacing w:before="120" w:after="0"/>
        <w:jc w:val="center"/>
        <w:rPr/>
      </w:pPr>
      <w:r>
        <w:rPr>
          <w:u w:val="single"/>
        </w:rPr>
        <w:t>  </w:t>
      </w:r>
      <w:r>
        <w:rPr/>
        <w:t xml:space="preserve"> </w:t>
      </w:r>
    </w:p>
    <w:p>
      <w:pPr>
        <w:pStyle w:val="TextBody"/>
        <w:bidi w:val="0"/>
        <w:spacing w:before="240" w:after="0"/>
        <w:jc w:val="center"/>
        <w:rPr>
          <w:rFonts w:ascii="Times New Roman" w:hAnsi="Times New Roman"/>
          <w:b/>
          <w:i/>
          <w:sz w:val="20"/>
          <w:u w:val="single"/>
        </w:rPr>
      </w:pPr>
      <w:r>
        <w:rPr>
          <w:rFonts w:ascii="Times New Roman" w:hAnsi="Times New Roman"/>
          <w:b/>
          <w:i/>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19, 2026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LifeSci Capital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(the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02109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c/o LifeSci Capital LLC </w:t>
      </w:r>
    </w:p>
    <w:p>
      <w:pPr>
        <w:pStyle w:val="TextBody"/>
        <w:bidi w:val="0"/>
        <w:spacing w:before="0" w:after="0"/>
        <w:jc w:val="left"/>
        <w:rPr>
          <w:rFonts w:ascii="Times New Roman" w:hAnsi="Times New Roman"/>
          <w:sz w:val="20"/>
        </w:rPr>
      </w:pPr>
      <w:r>
        <w:rPr>
          <w:rFonts w:ascii="Times New Roman" w:hAnsi="Times New Roman"/>
          <w:sz w:val="20"/>
        </w:rPr>
        <w:t xml:space="preserve">1700 Broadway, 40th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Amylyx Pharmaceuticals, Inc., a Delaware corporation (the “Company”), proposes, subject to the terms and conditions stated in this agreement (this “Agreement”), to issue and sell to the Underwriters named in Schedule I hereto (the “Underwriters”) an aggregate of 14,090,000 shares of common stock, par value $0.0001 per share (“Stock”), of the Company (the “Firm Shares”). In addition, the Company has granted the Underwriters an option to purchase, at the election of the Underwriters, up to 2,113,500 additional shares (the “Optional Shares”) of Stock (the Firm Shares and the Optional Shares that the Underwriters elect to purchase pursuant to Section 2 hereof being collectively called the “Shares”). To the extent there are no additional Underwriters listed on Schedule I other than the Representatives, the term Underwriters shall mean either the singular or plural as the context requires.</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An “automatic shelf registration statement” as defined under Rule 405 under the Securities Act of 1933, as amended (the “Act”), on Form S-3 (File No. 333-293956) in respect of the Shares has been filed with the Securities and Exchange Commission (the “Commission”) not earlier than three years prior to the date hereof, which shelf registration statement, and any post-effective amendment thereto, became effective upon filing; and no stop order suspending the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“Base Prospectus”); any preliminary prospectus (including any preliminary prospectus supplement) relating to the Shares filed with the Commission pursuant to Rule 424(b) under the Act is hereinafter called a “Preliminary Prospectus;” the various parts of such registration statement, including all exhibits thereto and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“Registration Statement;” the Base Prospectus, as amended and supplemented immediately prior to the Applicable Time (as defined in Section 1(c) hereof), is hereinafter called the “Pricing Prospectus;” the form of the final prospectus (including any final prospectus supplement) relating to the Shares filed with the Commission pursuant to Rule 424(b) under the Act in accordance with Section 5(a) hereof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any reference herein to the Base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Base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Base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No order preventing or suspending the use of any Preliminary Prospectus or any Issuer Free Writing Prospectus has been issued by the Commission, and (B) each Preliminary Prospectus, if any,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For the purposes of this Agreement, the “Applicable Time” is 7:00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(as supplemented by any post-effective amendment thereto)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if any, does not conflict with the information contained in the Registration Statement, the Pricing Prospectus or the Prospectus, and each Issuer Free Writing Prospectus, each broadly available road show and each Written Testing-the-Waters Communication, if any, as supplemented by and taken together with the Pricing Disclosure Package, as of the Applicable Time, did not, and as of each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The documents incorporated by reference in the Pricing Prospectus and the Prospectus, at the time when the Registration Statement was deemed to become effective and when such documents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no such documents were filed with the Commission since the Commission’s close of business on the business day immediately prior to the date of this Agreement and prior to the execution of this Agreement, except as set forth on Schedule II(b)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any of its subsidiaries has, since the date of the latest audited financial statements included or incorporated by reference in the Pricing Prospectus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except as set forth or contemplated in the Pricing Prospectus and the Prospectus; and, since the respective dates as of which information is given in the Registration Statement and the Pricing Prospectus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results of operations or prospects of the Company and its subsidiaries, taken as a whole, except as set forth or contemplated in the Pricing Prospectus and the Prospectus, or (ii) the ability of the Company to perform its obligations under this Agreement, including the issuance and sale of the Shares, or to consummate the transactions contemplated in the Pricing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its subsidiaries do not own any real property and have good and marketable title to all personal property owned by them,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Each of the Company and its subsidiaries has been (i) duly organized and is validly existing and in good standing under the laws of its jurisdiction of organization, with power and authority (corporate and other) to own and/or lease its properties and conduct its business as described in the Pricing Prospectus and the Prospectus, and (ii) duly qualified as a foreign corporation or other form of entity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subsidiary of the Company has been listed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Prospectus and Prospectus; and all of the issued shares of capital stock of the Company’s subsidiaries have been duly and validly authorized and issued, are fully paid and non-assessable and (except, in the case of any foreign subsidiary, for directors’ qualifying shares) are owned directly or indirectly by the Company, free and clear of all liens, encumbrances, equities or claims; </w:t>
      </w:r>
    </w:p>
    <w:p>
      <w:pPr>
        <w:pStyle w:val="TextBody"/>
        <w:bidi w:val="0"/>
        <w:spacing w:before="240" w:after="0"/>
        <w:jc w:val="left"/>
        <w:rPr>
          <w:rFonts w:ascii="Times New Roman" w:hAnsi="Times New Roman"/>
          <w:sz w:val="20"/>
        </w:rPr>
      </w:pPr>
      <w:r>
        <w:rPr>
          <w:rFonts w:ascii="Times New Roman" w:hAnsi="Times New Roman"/>
          <w:sz w:val="20"/>
        </w:rPr>
        <w:t xml:space="preserve">(j) 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(k) The issue and sale of the Shares and the compliance by the Company with this Agreement and the consummation of the transactions contemplated in this Agreement, the Pricing Prospectus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as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Inc. (“FINRA”) of the underwriting terms and arrangements and such consents, approvals, authorizations, registrations or qualifications as may be required under state securities or Blue Sky laws in connection with the purchase and distribution of the Shares by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The statements set forth in the Pricing Prospectus and Prospectus under the caption “Description of Capital Stock”, insofar as they purport to constitute a summary of the terms of the Stock, under the caption “Material U.S. Federal Income Tax Consequences for Non-U.S. Holders,” and under the caption “Underwriting,” insofar as they purport to describe the provisions of the laws and documents referred to therein, are accurate, complete and fair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(n) 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of the Company or any of its subsidiaries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 </w:t>
      </w:r>
    </w:p>
    <w:p>
      <w:pPr>
        <w:pStyle w:val="TextBody"/>
        <w:bidi w:val="0"/>
        <w:spacing w:before="240" w:after="0"/>
        <w:jc w:val="left"/>
        <w:rPr>
          <w:rFonts w:ascii="Times New Roman" w:hAnsi="Times New Roman"/>
          <w:sz w:val="20"/>
        </w:rPr>
      </w:pPr>
      <w:r>
        <w:rPr>
          <w:rFonts w:ascii="Times New Roman" w:hAnsi="Times New Roman"/>
          <w:sz w:val="20"/>
        </w:rPr>
        <w:t xml:space="preserve">(o) The Company is not and, after giving effect to the offering and sale of the Shares and the application of the proceeds thereof, will not be an “investment company,” as such term is defined in the Investment Company Act of 1940, as amended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(p) (A)(i)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if any,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There are (and prior to the Time of Delivery, will be) no debt securities or preferred stock issued or guaranteed by the Company that are rated by a “nationally recognized statistical rating organization,” as such term is defined in Section 3(a)(62)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(r) Deloitte &amp; Touche LLP, which has certified certain financial statements of the Company and its subsidiaries, is an independent public accounting firm as required by the Act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(s) 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Pricing Prospectus and the Prospectus fairly presents the information called for in all material respects and is prepared in accordance with the Commission’s rules and guidelines applicable thereto; and the Company’s internal control over financial reporting is effective and the Company is not aware of any material weaknesses in its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 Since the date of the latest audited financial statements included or incorporated by reference in the Pricing Prospectus and the Prospectus, there has been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(u)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w:t>
      </w:r>
    </w:p>
    <w:p>
      <w:pPr>
        <w:pStyle w:val="TextBody"/>
        <w:bidi w:val="0"/>
        <w:spacing w:before="240" w:after="0"/>
        <w:jc w:val="left"/>
        <w:rPr>
          <w:rFonts w:ascii="Times New Roman" w:hAnsi="Times New Roman"/>
          <w:sz w:val="20"/>
        </w:rPr>
      </w:pPr>
      <w:r>
        <w:rPr>
          <w:rFonts w:ascii="Times New Roman" w:hAnsi="Times New Roman"/>
          <w:sz w:val="20"/>
        </w:rPr>
        <w:t xml:space="preserve">(v)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(w) Neither the Company nor any of its subsidiaries, nor any director or officer of the Company nor, to the Company’s knowledge, any other employee of the Company or any of its subsidiaries, any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(x)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(y) Neither the Company nor any of its subsidiaries, nor any director or officer of the Company nor, to the Company’s knowledge, any other employee of the Company or its subsidiary or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any of its subsidiaries is engaged in, or has, at any time since April 24, 2019,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The financial statements included or incorporated by reference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included or incorporated by reference in the Registration Statement, the Pricing Prospectus and the Prospectus, present fairly in accordance with GAAP, in all material respects, the information required to be stated therein. The interactive data in eXtensible Business Reporting Language included in the Registration Statement fairly presents the information called for in all material respects and has been reported in accordance with the Commission’s rules and guidelines. The selected financial data and the summary financial information included or incorporated by reference in the Registration Statement, the Pricing Prospectus and the Prospectus present fairly, in all material respects, the information shown therein and, other than non-GAAP measures,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Pricing Prospectus or the Prospectus under the Act or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(aa) 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(bb) Except as would not reasonably be expected to have a Material Adverse Effect, no labor disturbance by or dispute with current or former employees or officers of the Company or any of its subsidiaries exists or, to the Company’s knowledge, is contemplated or threatened, and the Company is not aware of any existing or imminent labor disturbance by, or dispute with, the employees of any of the Company’s or any of its subsidiaries’ principal suppliers, manufacturers or contractors. Neither the Company nor any of its subsidiaries is a party to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(cc) The Company and its subsidiaries have insurance covering their respective properties, operations, personnel and business, including business interruption insurance, which insurance is in amounts and insures against such losses and risks as are reasonable and is ordinary and customary for comparable companies in the same or similar businesses; and neither the Company nor any of its subsidiaries has (i) not received notice from any insurer or agent of such insurer that capital improvements or other expenditures are required or necessary to be made in order to continue such insurance nor (ii) any reason to believe that it will not be able to renew its existing insurance coverage as and when such coverage expires or to obtain similar coverage at reasonable cost from similar insurers as may be reasonably necessary to continue its business; </w:t>
      </w:r>
    </w:p>
    <w:p>
      <w:pPr>
        <w:pStyle w:val="TextBody"/>
        <w:bidi w:val="0"/>
        <w:spacing w:before="240" w:after="0"/>
        <w:jc w:val="left"/>
        <w:rPr>
          <w:rFonts w:ascii="Times New Roman" w:hAnsi="Times New Roman"/>
          <w:sz w:val="20"/>
        </w:rPr>
      </w:pPr>
      <w:r>
        <w:rPr>
          <w:rFonts w:ascii="Times New Roman" w:hAnsi="Times New Roman"/>
          <w:sz w:val="20"/>
        </w:rPr>
        <w:t xml:space="preserve">(dd) The Company’s board of directors meets the independence requirements of, and has established an audit committee, a compensation committee and a nominating and corporate governance committee, in each case, that meets the independence requirements of, the rules and regulations of the Commission and the Nasdaq Global Select Market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The Company and its subsidiaries, and to the Company’s knowledge, their respective directors, officers and employees, are, and at all times have been, in compliance with applicable Health Care Laws (defined herein) including, but not limited to, the rules and regulations of the U.S. Food and Drug Administration (“FDA”), the U.S. Department of Health and Human Services Office of Inspector General, the Centers for Medicare &amp; Medicaid Services, the Office for Civil Rights,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except for such noncompliance that would not, individually or in the aggregate, reasonably be expected to have a Material Adverse Effect. For purposes of this Agreement, “Health Care Laws” shall mean, as applicable, the federal Anti-kickback Statute (42 U.S.C. § 1320a-7b(b)), the Physician Payments Sunshine Act (42 U.S.C. § 1320a-7h), the civil False Claims Act (31 U.S.C. §§ 3729 et seq.), the criminal False Claims Act (42 U.S.C. § 1320a-7b(a)), applicable criminal laws relating to health care fraud and abuse, the exclusion laws (42 U.S.C. § 1320a-7), the civil monetary penalties law (42 U.S.C. § 1320a-7a),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the Federal Food, Drug, and Cosmetic Act (21 U.S.C. §§ 301 et seq.), the Patient Protection and Affordable Care Act of 2010 (Pub. Law 111-148), as amended by the Health Care and Education Reconciliation Act of 2010 (Pub. Law 111-152), and the regulations promulgated pursuant to the aforementioned statutes.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any of its subsidiaries has received any written notification, correspondence or any other written communication, including, without limitation, any Form FDA 483, notice of adverse finding, warning letter, untitled letter or other correspondence or notice from the FDA or any similar regulatory authority, or any notification of any pending or, to the Company’s knowledge, threatened claim, suit, proceeding, hearing, enforcement, investigation, arbitration or other action, from any governmental authority of alleging material non-compliance by, or material liability of, the Company or its subsidiaries under any Health Care Laws; </w:t>
      </w:r>
    </w:p>
    <w:p>
      <w:pPr>
        <w:pStyle w:val="TextBody"/>
        <w:bidi w:val="0"/>
        <w:spacing w:before="240" w:after="0"/>
        <w:jc w:val="left"/>
        <w:rPr>
          <w:rFonts w:ascii="Times New Roman" w:hAnsi="Times New Roman"/>
          <w:sz w:val="20"/>
        </w:rPr>
      </w:pPr>
      <w:r>
        <w:rPr>
          <w:rFonts w:ascii="Times New Roman" w:hAnsi="Times New Roman"/>
          <w:sz w:val="20"/>
        </w:rPr>
        <w:t xml:space="preserve">(ff) Each of the Company and its subsidiaries possesses, and is in material compliance with the terms of, all applications, certificates, approvals, clearances, registrations, exemptions, franchises, licenses, permits, consents and other authorizations issued by the appropriate Governmental Authorities and necessary to conduct their respective businesses (collectively, “Licenses”), including, without limitation, all Licenses required by the FDA, or any component thereof, and/or by any other U.S., state, local or foreign government or drug regulatory agency (collectively, the “Regulatory Agencies”), except where a failure to so possess or noncompliance would not, individually or in the aggregate, reasonably be expected to have a Material Adverse Effect. All such Licenses are in full force and effect and neither the Company nor any of its subsidiaries is in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term or conditions of any such License, except where a failure to be in full force or effect or such violation would not, individually or in the aggregate, reasonably be expected to have a Material Adverse Effect. Each of the Company and its subsidiaries has fulfilled and performed all of its respective obligations with respect to such Licenses and, no event has occurred which allows, or after notice or lapse of time would allow, revocation or termination thereof or results in any other impairment of the rights of the holder of any such License, except for such failure or occurrence that would not, individually or in the aggregate, reasonably be expected to have a Material Adverse Effect. Neither the Company nor any of its subsidiaries has received any notice of proceedings from the applicable Regulatory Agency proposing to revoke or materially adversely modify any such Licenses and, to the Company’s knowledge, no Regulatory Agency has taken any action to limit, suspend or revoke any such License possessed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(gg) To the Company’s knowledge, the manufacturing facilities and operations of its suppliers are operated in compliance in all material respects with all applicable statutes,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(hh) Other than as disclosed in the Registration Statement, the Pricing Prospectus and the Prospectus, none of the Company’s product candidates has received marketing approval from any Regulatory Agencies. 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or by a licensor, and the results thereof, contained in the Registration Statement, the Pricing Prospectus and the Prospectus are accurate and complete in all material respects; the Company is not aware of any other pre-clinical studies or clinical trials, the results of which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or ethics committee or similar body requiring the termination, suspension, material modification or clinical hold of any pre-clinical studies or clinical trials conducted by or, to the Company’s knowledge, on behalf of the Company or by a licensor; </w:t>
      </w:r>
    </w:p>
    <w:p>
      <w:pPr>
        <w:pStyle w:val="TextBody"/>
        <w:bidi w:val="0"/>
        <w:spacing w:before="240" w:after="0"/>
        <w:jc w:val="left"/>
        <w:rPr>
          <w:rFonts w:ascii="Times New Roman" w:hAnsi="Times New Roman"/>
          <w:sz w:val="20"/>
        </w:rPr>
      </w:pPr>
      <w:r>
        <w:rPr>
          <w:rFonts w:ascii="Times New Roman" w:hAnsi="Times New Roman"/>
          <w:sz w:val="20"/>
        </w:rPr>
        <w:t xml:space="preserve">(ii) Neither the Company nor its subsidiaries, nor any of their respective officers, employees or directors, nor, to the Company’s knowledge, any of its or their respective agents or clinical investigators, or licensors, has, for the past three (3) years, been excluded, suspended or debarred from participation in any U.S. federal or foreign health care program or human clinical research or,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21 U.S.C. § 335a or comparable foreign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The Company and each subsidiary owns or has valid and enforceable licenses or other rights to all patents and patent applications, copyrights, all material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the conduct, or the proposed conduct, of the business of the Company in the manner described in the Pricing Prospectus and the Prospectus (collectively, the “Company Intellectual Property”); to the Company’s knowledge, there are no rights of third parties to any of the patents, trademarks (other than which would, singly or in the aggregate, reasonably be expected to have a Material Adverse Effect on the Company and its subsidiaries, taken as a whole) and copyrights within the Company Intellectual Property disclosed in the Registration Statement and the Prospectus as being owned by the Company and its subsidiaries and such patents, trademark and copyrights are owned by the Company and its subsidiaries free and clear of all material liens, security interests, or encumbrances; to the Company’s knowledge, the patents, material trademarks and copyrights held or licensed by the Company and its subsidiaries included within the Company Intellectual Property are valid, enforceable and subsisting; and other than as disclosed in the Pricing Prospectus and the Prospectus, (i) neither the Company nor its subsidiaries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conduct of the business of the Company in the manner described in the Pricing Prospectus and the Prospectus is infringing, misappropriating, diluting or otherwise violating any intellectual property rights of others, (iii) no action, suit, claim or other proceeding is pending or, to the knowledge of the Company, is threatened, challenging the validity, enforceability, scope, registration, ownership or use of any of the Company Intellectual Property, (iv) no action, suit, claim or other proceeding is pending or, to the knowledge of the Company, is threatened, challenging the Company’s and its subsidiaries’ rights in or to any Company Intellectual Property, and the Company is unaware of any material facts which could form a reasonable basis for any such action, suit, proceeding or claim, (v) the Company has not received written notice of any claim of infringement, misappropriation or conflict with any asserted rights of others with respect to any of the Company’s or its subsidiaries’ products, proposed products, processes or Company Intellectual Property, (vi) to the knowledge of the Company, the development, manufacture, sale, and any currently proposed use of any of the products, proposed products or processes of the Company and its subsidiaries referred to in the Pricing Prospectus and the Prospectus, in the current or proposed conduct of the business of the Company, do not currently, and will not upon commercialization, to the knowledge of the Company, infringe any right or valid patent claim of any third party, (vii) to the Company’s knowledge, no third party has any ownership right in or to any Company Intellectual Property in any field of use that is exclusively licensed to the Company or its subsidiaries, other than any licensor to the Company or its subsidiaries of such Company Intellectual Property, (viii) no employee, consultant or independent contractor of the Company or any of its subsidiaries is, to the Company’s knowledge,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material confidential information and material trade secrets and to maintain and safeguard the material Company Intellectual Property, including the execution of appropriate nondisclosure and confidentiality agreements and (x) the Company has complied with the material terms of each agreement pursuant to which the Company Intellectual Property has been licensed to the Company, and any such agreements are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All patents and patent applications owned by or licensed to the Company and its subsidiaries or under which the Company and its subsidiaries have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or its subsidiaries; to the knowledge of the Company, the parties prosecuting such applications have complied with their duty of candor and disclosure to the United States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w:t>
      </w:r>
    </w:p>
    <w:p>
      <w:pPr>
        <w:pStyle w:val="TextBody"/>
        <w:bidi w:val="0"/>
        <w:spacing w:before="240" w:after="0"/>
        <w:jc w:val="left"/>
        <w:rPr>
          <w:rFonts w:ascii="Times New Roman" w:hAnsi="Times New Roman"/>
          <w:sz w:val="20"/>
        </w:rPr>
      </w:pPr>
      <w:r>
        <w:rPr>
          <w:rFonts w:ascii="Times New Roman" w:hAnsi="Times New Roman"/>
          <w:sz w:val="20"/>
        </w:rPr>
        <w:t xml:space="preserve">(ll) Any statistical, industry-related and market-related data included in or incorporated by reference into each of the Registration Statement, the Pricing Prospectus and the Prospectus are based on or derived from sources that the Company reasonably believes to be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(mm)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Prospectus and the Prospectus, except where the failure to possess or make the same would not, individually or in the aggregate, reasonably be expected to have a Material Adverse Effect; and except as described in the Registration Statement, the Pricing Prospectus and the Prospectus, neither the Company nor any of its subsidiaries has received notice of any revocation or modification of any such license, certificate, permit or authorization, except where such revocation or modification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(nn) All United States federal income tax returns of the Company and its subsidiaries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subsidiaries, except for such taxes, if any, as are being contested in good faith and as to which adequate reserves have been provided and except insofar as the failure to pay such taxes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The Company has not taken and will not take, directly or indirectly, any action that is designed to or that has constituted or might reasonably be expected to cause or result in stabilization or manipulation of the price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(pp)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(qq) No relationship, direct or indirect, exists between or among the Company or any of its subsidiaries, on the one hand, and the directors, officers, stockholders, customers or suppliers of the Company or any of its subsidiaries, on the other, that is required by the Act to be described in the Registration Statement and the Prospectus and that is not so described in such documents and in the Registration Statement, the Pricing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(rr) There are no contracts, arrangements or documents which are required to be described in the Registration Statement or to be filed as exhibits thereto which have not been so described and filed as required; </w:t>
      </w:r>
    </w:p>
    <w:p>
      <w:pPr>
        <w:pStyle w:val="TextBody"/>
        <w:bidi w:val="0"/>
        <w:spacing w:before="240" w:after="0"/>
        <w:jc w:val="left"/>
        <w:rPr>
          <w:rFonts w:ascii="Times New Roman" w:hAnsi="Times New Roman"/>
          <w:sz w:val="20"/>
        </w:rPr>
      </w:pPr>
      <w:r>
        <w:rPr>
          <w:rFonts w:ascii="Times New Roman" w:hAnsi="Times New Roman"/>
          <w:sz w:val="20"/>
        </w:rPr>
        <w:t xml:space="preserve">(ss) Except as would not reasonably be expected to have a Material Adverse Effect, (i) The Company’s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and are, to the knowledge of the Company, free and clear of all material bugs, errors, defects, Trojan horses, time bombs, malware and other corruptants; (ii) the Company and its subsidiaries have implemented and maintained reasonable controls, policies, procedures, and safeguards to maintain and protect their material confidential information and the integrity, continuous operation, redundancy and security of all IT Systems and data (including all personal or personally identifiable data (“Personal Data”)) used in connection with their businesses; to the knowledge of the Company, there have been no breaches, violations, outages or unauthorized uses of or accesses to any Personal Data, except for those that have been remedied without material cost or liability or the duty to notify any other person, nor any incidents under internal review or investigations relating to the same;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(tt) The Company and each director and officer of the Company, in their capacities as such, are in compliance, to the extent required, with all provisions of the Sarbanes-Oxley Act of 2002, as amended, and all rules and regulations promulgated thereunder applicable,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(uu) None of the subsidiaries of the Company is a “significant subsidiary” of the Company as such term is defined in Rule 1-02 of Regulation S-X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(vv) No forward-looking statement (within the meaning of Section 27A of the Act and Section 21E of the Exchange Act) included in or incorporated by reference into any of the Registration Statement, the Pricing Prospectus or the Prospectus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(ww) The Stock is registered pursuant to Section 12(b) of the Exchange Act and is listed for trading on the Exchange and the Company has taken no action designed to, or likely to have the effect of, terminating the registration of the Stock under the Exchange Act or the delisting of the Stock from the Exchange, nor has the Company received any notification that the Commission or the Exchange is contemplating terminating such registration or listing. To the Company’s knowledge, the Company is in compliance with all material applicable listing requirements of the Exchange; and </w:t>
      </w:r>
    </w:p>
    <w:p>
      <w:pPr>
        <w:pStyle w:val="TextBody"/>
        <w:bidi w:val="0"/>
        <w:spacing w:before="240" w:after="0"/>
        <w:jc w:val="left"/>
        <w:rPr>
          <w:rFonts w:ascii="Times New Roman" w:hAnsi="Times New Roman"/>
          <w:sz w:val="20"/>
        </w:rPr>
      </w:pPr>
      <w:r>
        <w:rPr>
          <w:rFonts w:ascii="Times New Roman" w:hAnsi="Times New Roman"/>
          <w:sz w:val="20"/>
        </w:rPr>
        <w:t xml:space="preserve">(xx) The Company has paid the registration fee for this offering pursuant to Rule 456(b)(1) of the Act or will pay such fee within the time period required by such rule (without giving effect to the proviso therein) and in any event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2. Subject to the terms and conditions herein set forth, (a) the Company agrees to issue and sell to each of the Underwriters, and each of the Underwriters agrees, severally and not jointly, to purchase from the Company, at a purchase price per Firm Share of $33.512,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Firm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grants to the Underwriters the right to purchase at their election up to 2,113,500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Upon the authorization by you of the release of the Firm Shares, the several Underwriters propose to offer the Firm Shares for sale upon the terms and conditions set forth in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4. (a)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August 21, 2026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(b) 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Wilmer Cutler Hale Pickering and Dorr LLP, 7 World Trade Center, 250 Greenwich Street New York, NY 10007 (the “Closing Location”), and the Shares will be delivered at the Designated Office,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5. The Company agrees with each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(a) 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Base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or any amendment or supplement to the Prospectus has been filed and to furnish you with copies thereof; to file promptly all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Shares by the Underwriters (references herein to the Registration Statement shall include any such amendment or new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If by the third anniversary (the “Renewal Deadline”) of the initial effective date of the Registration Statement, any of the Shares remain unsold by the Underwriters, the Company will file, if it has not already done so and is eligible to do so, a new automatic shelf registration statement relating to the Shares, in a form satisfactory to you. If at the Renewal Deadline the Company is no longer eligible to file an automatic shelf registration statement, the Company will, if it has not already done so, file a new shelf registration statement relating to the Shares, in a form satisfactory to you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Preliminary Prospectus and any supplements and amendments thereto or to the Registration Statement (to the extent not previously delivered)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Pricing Prospectus and the Prospectus in order to comply with the Act or the Exchange Act, to notify you and, before amending or supplementing the Registration Statement, the Pricing Prospectus or the Prospectus, to furnish you a copy of each such proposed amendment or supplement and not file any such proposed amendment or supplement to which you reasonably object, and upon your request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w:t>
      </w:r>
    </w:p>
    <w:p>
      <w:pPr>
        <w:pStyle w:val="TextBody"/>
        <w:bidi w:val="0"/>
        <w:spacing w:before="240" w:after="0"/>
        <w:jc w:val="left"/>
        <w:rPr>
          <w:rFonts w:ascii="Times New Roman" w:hAnsi="Times New Roman"/>
          <w:sz w:val="20"/>
        </w:rPr>
      </w:pPr>
      <w:r>
        <w:rPr>
          <w:rFonts w:ascii="Times New Roman" w:hAnsi="Times New Roman"/>
          <w:sz w:val="20"/>
        </w:rPr>
        <w:t xml:space="preserve">(e) To make generally available to its securityholders as soon as practicable (which may be satisfied by filing with the Commission’s Electronic Data Gathering, Analysis and Retrieval System (“EDGAR”) or any successor thereto),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w:t>
      </w:r>
    </w:p>
    <w:p>
      <w:pPr>
        <w:pStyle w:val="TextBody"/>
        <w:bidi w:val="0"/>
        <w:spacing w:before="240" w:after="0"/>
        <w:jc w:val="left"/>
        <w:rPr>
          <w:rFonts w:ascii="Times New Roman" w:hAnsi="Times New Roman"/>
          <w:sz w:val="20"/>
        </w:rPr>
      </w:pPr>
      <w:r>
        <w:rPr>
          <w:rFonts w:ascii="Times New Roman" w:hAnsi="Times New Roman"/>
          <w:sz w:val="20"/>
        </w:rPr>
        <w:t xml:space="preserve">(f) During the period beginning from the date hereof and continuing to and including the date 45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sold hereunder or pursuant to employee stock option plans existing on, or upon the conversion or exchange of convertible or exchangeable securities outstanding as of, the date of this Agreement), without the prior written consent of Leerink Partners LLC, Morgan Stanley &amp; Co. LLC and Guggenheim Securities, LLC; </w:t>
      </w:r>
      <w:r>
        <w:rPr>
          <w:rFonts w:ascii="Times New Roman" w:hAnsi="Times New Roman"/>
          <w:i/>
          <w:sz w:val="20"/>
        </w:rPr>
        <w:t>provided</w:t>
      </w:r>
      <w:r>
        <w:rPr>
          <w:rFonts w:ascii="Times New Roman" w:hAnsi="Times New Roman"/>
          <w:sz w:val="20"/>
        </w:rPr>
        <w:t xml:space="preserve">, that the restrictions contained in this paragraph shall not apply to (a) the Shares to be sold by the Company hereunder, (b) the issuance by the Company of shares of Stock or any other security pursuant to the exercise of an option or warrant or the conversion and/or exchange of a security in each case outstanding on the date hereof and described in the Registration Statement and the Prospectus, (c) grants of options, restricted shares or restricted share units to officers, directors, employees and consultants of the Company in accordance with the terms of an incentive compensation plan described in the Registration Statement and the Prospectus, or the issuance by the Company of shares of Common Stock upon the exercise thereof, (d) the filing by the Company of a registration statement with the Commission on Form S-8 in connection with such aforesaid plan, or (e) the issuance of shares of Stock, or any securities convertible into or exercisable or exchangeable for shares of Stock, or the entry into an agreement to issue shares of Stock, in each case in connection with any bona fide merger, joint venture, strategic alliance, commercial or other collaborative transaction, or the acquisition or license by the Company of the business, property, technology or other assets of another individual or entity that is an unaffiliated third party of the Company, or the assumption of an employee benefit plan in connection with such a merger or acquisition, provided, that the aggregate number of shares of Stock or securities convertible into or exercisable for Stock (on an as-converted or as exercised basis, as the case may be) that the Company may sell or issue or agree to sell or issue pursuant to clause (e) above shall not exceed 5% of the total number of shares of the Company’s Stock issued and outstanding immediately following the completion of the transactions contemplated by this Agreement and with respect to any transaction described in clause (e) of this Section 5(f) occurring during the Lock-Up Period, any transferee or other recipient of Stock or other Company securities agrees to be bound in writing, until the end of the Lock-Up Period, by the restrictions set forth in a lock-up letter in the form described in Section 8(h) hereof; and </w:t>
      </w:r>
    </w:p>
    <w:p>
      <w:pPr>
        <w:pStyle w:val="TextBody"/>
        <w:bidi w:val="0"/>
        <w:spacing w:before="240" w:after="0"/>
        <w:jc w:val="left"/>
        <w:rPr>
          <w:rFonts w:ascii="Times New Roman" w:hAnsi="Times New Roman"/>
          <w:sz w:val="20"/>
        </w:rPr>
      </w:pPr>
      <w:r>
        <w:rPr>
          <w:rFonts w:ascii="Times New Roman" w:hAnsi="Times New Roman"/>
          <w:sz w:val="20"/>
        </w:rPr>
        <w:t xml:space="preserve">(g) During a period of three (3) years from the effective date of the Registration Statement, for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needs to be furnished pursuant to this Section 5(g) to the extent they are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(h) During a period of three (3)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needs to be furnished pursuant to this Section 5(h) to the extent they are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(i) To use the net proceeds received by it from the sale of the Shares pursuant to this Agreement in the manner specified in the Pricing Prospectus under the caption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(j) To use its best efforts to list, subject to notice of issuance, the Shares on the Exchange; </w:t>
      </w:r>
    </w:p>
    <w:p>
      <w:pPr>
        <w:pStyle w:val="TextBody"/>
        <w:bidi w:val="0"/>
        <w:spacing w:before="240" w:after="0"/>
        <w:jc w:val="left"/>
        <w:rPr>
          <w:rFonts w:ascii="Times New Roman" w:hAnsi="Times New Roman"/>
          <w:sz w:val="20"/>
        </w:rPr>
      </w:pPr>
      <w:r>
        <w:rPr>
          <w:rFonts w:ascii="Times New Roman" w:hAnsi="Times New Roman"/>
          <w:sz w:val="20"/>
        </w:rPr>
        <w:t xml:space="preserve">(k) To pay the required Commission filing fees relating to the Shares within the time required by Rule 456(b)(1) under the Act without regard to the proviso therein and otherwise in accordance with Rules 456(b) and 457(r) under the Act; and </w:t>
      </w:r>
    </w:p>
    <w:p>
      <w:pPr>
        <w:pStyle w:val="TextBody"/>
        <w:bidi w:val="0"/>
        <w:spacing w:before="240" w:after="0"/>
        <w:jc w:val="left"/>
        <w:rPr>
          <w:rFonts w:ascii="Times New Roman" w:hAnsi="Times New Roman"/>
          <w:sz w:val="20"/>
        </w:rPr>
      </w:pPr>
      <w:r>
        <w:rPr>
          <w:rFonts w:ascii="Times New Roman" w:hAnsi="Times New Roman"/>
          <w:sz w:val="20"/>
        </w:rPr>
        <w:t xml:space="preserve">(l) 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w:t>
      </w:r>
    </w:p>
    <w:p>
      <w:pPr>
        <w:pStyle w:val="TextBody"/>
        <w:bidi w:val="0"/>
        <w:spacing w:before="240" w:after="0"/>
        <w:jc w:val="left"/>
        <w:rPr>
          <w:rFonts w:ascii="Times New Roman" w:hAnsi="Times New Roman"/>
          <w:sz w:val="20"/>
        </w:rPr>
      </w:pPr>
      <w:r>
        <w:rPr>
          <w:rFonts w:ascii="Times New Roman" w:hAnsi="Times New Roman"/>
          <w:sz w:val="20"/>
        </w:rPr>
        <w:t xml:space="preserve">6. (a)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 </w:t>
      </w:r>
    </w:p>
    <w:p>
      <w:pPr>
        <w:pStyle w:val="TextBody"/>
        <w:bidi w:val="0"/>
        <w:spacing w:before="240" w:after="0"/>
        <w:jc w:val="left"/>
        <w:rPr>
          <w:rFonts w:ascii="Times New Roman" w:hAnsi="Times New Roman"/>
          <w:sz w:val="20"/>
        </w:rPr>
      </w:pPr>
      <w:r>
        <w:rPr>
          <w:rFonts w:ascii="Times New Roman" w:hAnsi="Times New Roman"/>
          <w:sz w:val="20"/>
        </w:rPr>
        <w:t>(c)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Disclosure Package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(e) 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w:t>
      </w:r>
    </w:p>
    <w:p>
      <w:pPr>
        <w:pStyle w:val="TextBody"/>
        <w:bidi w:val="0"/>
        <w:spacing w:before="240" w:after="0"/>
        <w:jc w:val="left"/>
        <w:rPr>
          <w:rFonts w:ascii="Times New Roman" w:hAnsi="Times New Roman"/>
          <w:sz w:val="20"/>
        </w:rPr>
      </w:pPr>
      <w:r>
        <w:rPr>
          <w:rFonts w:ascii="Times New Roman" w:hAnsi="Times New Roman"/>
          <w:sz w:val="20"/>
        </w:rPr>
        <w:t xml:space="preserve">7. 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Base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fees and disbursements of counsel for the Underwriters in connection with such qualification and in connection with the Blue Sky survey; (iv)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(v) all fees and expenses in connection with listing the Shares on the Exchange; (vi) the filing fees incident to, and the reasonable fees and disbursements of counsel for the Underwriters in connection with, any required review by FINRA of the terms of the sale of the Shares; (vii) the cost of preparing stock certificates; (viii) the cost and charges of any transfer agent, warrant agent or registrar; and (ix) all other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incident to the performance of its obligations hereunder which are not otherwise specifically provided for in this Section; provided that the aggregate amount of fees of counsel payable by the Company pursuant to subsections (iii) and, solely with respect to fees and disbursements for underwriters’ counsel, subsection (vi), shall not exceed $25,000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 and the travel and lodging expenses incurred by representatives of the Underwriters in connection with any road show. </w:t>
      </w:r>
    </w:p>
    <w:p>
      <w:pPr>
        <w:pStyle w:val="TextBody"/>
        <w:bidi w:val="0"/>
        <w:spacing w:before="240" w:after="0"/>
        <w:jc w:val="left"/>
        <w:rPr>
          <w:rFonts w:ascii="Times New Roman" w:hAnsi="Times New Roman"/>
          <w:sz w:val="20"/>
        </w:rPr>
      </w:pPr>
      <w:r>
        <w:rPr>
          <w:rFonts w:ascii="Times New Roman" w:hAnsi="Times New Roman"/>
          <w:sz w:val="20"/>
        </w:rPr>
        <w:t xml:space="preserve">8. 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shall have been issued and no proceeding for that purpose or pursuant to Section 8A of the Act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 </w:t>
      </w:r>
    </w:p>
    <w:p>
      <w:pPr>
        <w:pStyle w:val="TextBody"/>
        <w:bidi w:val="0"/>
        <w:spacing w:before="120" w:after="0"/>
        <w:jc w:val="left"/>
        <w:rPr>
          <w:rFonts w:ascii="Times New Roman" w:hAnsi="Times New Roman"/>
          <w:sz w:val="20"/>
        </w:rPr>
      </w:pPr>
      <w:r>
        <w:rPr>
          <w:rFonts w:ascii="Times New Roman" w:hAnsi="Times New Roman"/>
          <w:sz w:val="20"/>
        </w:rPr>
        <w:t xml:space="preserve">(b) Wilmer Cutler Pickering Hale and Dorr LLP, counsel for the Underwriters, shall have furnished to you their written opinion and negative assurance letter, each dated such Time of Delivery, in form and substance satisfactory to the Representatives, and such counsel shall have received such papers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(c) (i) Goodwin Procter LLP, counsel for the Company, shall have furnished to you their written opinion and negative assurance letter, each dated such Time of Delivery, in form and substance satisfactory to the Representatives, and (ii) Fish &amp; Richardson, intellectual property counsel for the Company, shall have furnished to you their written opinion and negative assurance letter, each dated such Time of Delivery, in form and substance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On the date of the Prospectus at a time prior to the execution of this Agreement, at 9:30 a.m., New York City time, on the effective date of any post-effective amendment to the Registration Statement filed subsequent to the date of this Agreement and also at each Time of Delivery, Deloitte &amp; Touche LLP shall have furnished to you a letter or letters, dated the respective dates of delivery thereof, in form and substance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(e) (i) Neither the Company nor any of its subsidiaries shall have sustained since the date of the latest audited financial statements included in or incorporated by reference into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(f) 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The Shares to be sold at such Time of Delivery shall have been duly listed on the Exchange; </w:t>
      </w:r>
    </w:p>
    <w:p>
      <w:pPr>
        <w:pStyle w:val="TextBody"/>
        <w:bidi w:val="0"/>
        <w:spacing w:before="120" w:after="0"/>
        <w:jc w:val="left"/>
        <w:rPr>
          <w:rFonts w:ascii="Times New Roman" w:hAnsi="Times New Roman"/>
          <w:sz w:val="20"/>
        </w:rPr>
      </w:pPr>
      <w:r>
        <w:rPr>
          <w:rFonts w:ascii="Times New Roman" w:hAnsi="Times New Roman"/>
          <w:sz w:val="20"/>
        </w:rPr>
        <w:t xml:space="preserve">(h) The Company shall have obtained and delivered to the Underwriters executed copies of an agreement from officers and directors, substantially in the form attached as Annex I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shall have complied with the provisions of Section 5(d) hereof with respect to the furnishing of prospectuses on the New York Business Day next succeeding the date of this Agreement (or such other time as may be agreed to by you and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(j) 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documented legal or other expenses reasonably incurred by such Underwriter in connection with investigating or defending any such action or claim as such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liable in any such case to the extent that any such loss, claim, damage or liability arises out of or is based upon an untrue statement or alleged untrue statement or omission or alleged omission made in the Registration Statement, the Base Prospectus, any Preliminary Prospectus, the Pricing Prospectus or the Prospectus, or any amendment or supplement thereto, or any Issuer Free Writing Prospectus or any Testing-the-Waters Communication,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any Preliminary Prospectus, the Pricing Prospectus or the Prospectus, or any amendment or supplement thereto, or any Issuer Free Writing Prospectus, or any roadshow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sixth paragraph and the twelfth paragraph under the caption “Underwriting” and the statement regarding the prior business dealings between the Company and the Underwriters appearing in the second sentence of the seventeenth paragraph under the caption “Underwriting”.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it shall notify the indemnifying party of the commencement thereof, and (1) in the case of a civil proceeding (excluding, for the avoidance of doubt, any governmental, regulatory or non-civil proceeding),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or (2) in case any governmental, regulatory or non-civil proceeding, upon request of the indemnified party, the indemnifying party shall retain counsel reasonably satisfactory to the indemnified party to represent the indemnified party and any others the indemnifying party may designate in such governmental, regulatory or non-civil proceeding and shall pay the fees and disbursements of such counsel related to such governmental, regulatory or non-civil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documented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either Section 15 of the Act or Section 20 of the Exchange Act and each broker-dealer or other affiliate of any Underwriter within the meaning of Rule 405 under the Act;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12. 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out-of-pocket expenses approved in writing by you, including fees and disbursements of counsel, reasonably incurred and documented by the Underwriters in making preparations for the purchase, sale and delivery of the Shares not so delivered, but the Company shall then be under no further liability to any Underwriter except as provided in Sections 7 and 9 hereof. </w:t>
      </w:r>
    </w:p>
    <w:p>
      <w:pPr>
        <w:pStyle w:val="TextBody"/>
        <w:bidi w:val="0"/>
        <w:spacing w:before="240" w:after="0"/>
        <w:jc w:val="left"/>
        <w:rPr>
          <w:rFonts w:ascii="Times New Roman" w:hAnsi="Times New Roman"/>
          <w:sz w:val="20"/>
        </w:rPr>
      </w:pPr>
      <w:r>
        <w:rPr>
          <w:rFonts w:ascii="Times New Roman" w:hAnsi="Times New Roman"/>
          <w:sz w:val="20"/>
        </w:rPr>
        <w:t xml:space="preserve">13. In all dealings hereunder, the Representatives shall act on behalf of each of the Underwriters, and the parties hereto shall be entitled to act and rely upon any statement, request, notice or agreement on behalf of any Underwriter made or given by Leerink Partners LLC, Morgan Stanley &amp; Co. LLC, Guggenheim Securities, LLC or LifeSci Capital LLC on behalf of you as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requests, notices and agreements hereunder shall be in writing, and if to the Underwriters shall be delivered or sent by mail, telex or facsimile transmission to you as the Representatives in care of Leerink Partners LLC, 1301 Avenue of the Americas, 5th Floor New York, New York 10019, Attention: Stuart R. Nayman, Morgan Stanley &amp; Co. LLC, 1585 Broadway, New York, New York 10036, Attention: Equity Syndicate Desk, with a copy to the Legal Department, Guggenheim Securities, LLC, 330 Madison Avenue, New York, NY 10017, Fax: (212) 658-9689, Attention: Head of Equity Capital Markets and LifeSci Capital LLC, 1700 Broadway, 40th Floor, New York, NY 10019, or by email at legalnotices@lifescicapital.com; and if to the Company shall be delivered or sent by mail, telex or facsimile transmission to the address of the Company set forth in the Registration Statement, Attention: Co-Chief Executive Officers, with a copy (which shall not constitute notice) to Goodwin Procter LLP, 100 Northern Avenue, Boston, MA 02210, Attention: Benjamin K. Marsh &amp; Janet Hsueh;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provided, however, that notices under subsection 5(e) shall be in writing, and if to the Underwriters shall be delivered or sent by mail, telex or facsimile transmission to you as the Representatives in care of Leerink Partners LLC, 1301 Avenue of the Americas, 5th Floor New York, New York 10019, Attention: Stuart R. Nayman, Morgan Stanley &amp; Co. LLC, 1585 Broadway, New York, New York 10036, Attention: Equity Syndicate Desk, with a copy to the Legal Department, Guggenheim Securities, LLC, 330 Madison Avenue, New York, NY 10017, Fax: (212) 658-9689, Attention: Head of Equity Capital Markets and LifeSci Capital LLC, 1700 Broadway, 40th Floor, New York, NY 10019, or by email at legalnotices@lifescicapital.com. Any such statements, requests, notices or agreements shall take effect upon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14. 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15. Time shall be of the essence of this Agreement. As used herein, the term “business day” shall mean any day when the Commission’s office in Washington, D.C. is open for business. </w:t>
      </w:r>
    </w:p>
    <w:p>
      <w:pPr>
        <w:pStyle w:val="TextBody"/>
        <w:bidi w:val="0"/>
        <w:spacing w:before="240" w:after="0"/>
        <w:jc w:val="left"/>
        <w:rPr>
          <w:rFonts w:ascii="Times New Roman" w:hAnsi="Times New Roman"/>
          <w:sz w:val="20"/>
        </w:rPr>
      </w:pPr>
      <w:r>
        <w:rPr>
          <w:rFonts w:ascii="Times New Roman" w:hAnsi="Times New Roman"/>
          <w:sz w:val="20"/>
        </w:rPr>
        <w:t xml:space="preserve">16. 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 The Company agrees that it will not claim that the Underwriters, or any of them, has rendered advisory services of any nature or respect, or owes a fiduciary or similar duty to the Company,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sz w:val="20"/>
        </w:rPr>
        <w:t xml:space="preserve">17. This Agreement supersedes all prior agreements and understandings (whether written or oral) between the Company and the Underwriters,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18. 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20. 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21.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w:t>
      </w:r>
    </w:p>
    <w:p>
      <w:pPr>
        <w:pStyle w:val="TextBody"/>
        <w:bidi w:val="0"/>
        <w:spacing w:before="240" w:after="0"/>
        <w:jc w:val="left"/>
        <w:rPr>
          <w:rFonts w:ascii="Times New Roman" w:hAnsi="Times New Roman"/>
          <w:sz w:val="20"/>
        </w:rPr>
      </w:pPr>
      <w:r>
        <w:rPr>
          <w:rFonts w:ascii="Times New Roman" w:hAnsi="Times New Roman"/>
          <w:sz w:val="20"/>
        </w:rPr>
        <w:t xml:space="preserve">22. Recognition of the U.S. Special Resolution Regimes.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As used in this section: </w:t>
      </w:r>
    </w:p>
    <w:p>
      <w:pPr>
        <w:pStyle w:val="TextBody"/>
        <w:bidi w:val="0"/>
        <w:spacing w:before="24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240" w:after="0"/>
        <w:jc w:val="left"/>
        <w:rPr/>
      </w:pPr>
      <w:r>
        <w:rPr/>
        <w:t>“</w:t>
      </w:r>
      <w:r>
        <w:rPr>
          <w:rFonts w:ascii="Times New Roman" w:hAnsi="Times New Roman"/>
          <w:sz w:val="20"/>
        </w:rPr>
        <w:t xml:space="preserve">Covered Entity” means any of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2"/>
        <w:gridCol w:w="60"/>
        <w:gridCol w:w="3620"/>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Amylyx Pharmaceuticals, Inc.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Joshua Cohen</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b/>
              </w:rPr>
            </w:pPr>
            <w:r>
              <w:rPr>
                <w:b/>
              </w:rPr>
              <w:t>Name: Joshua Cohen</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b/>
              </w:rPr>
            </w:pPr>
            <w:r>
              <w:rPr>
                <w:b/>
              </w:rPr>
              <w:t>Title: Co-Chief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1"/>
        <w:gridCol w:w="60"/>
        <w:gridCol w:w="3641"/>
      </w:tblGrid>
      <w:tr>
        <w:trPr/>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Leerink Partners LLC</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Jon Civitarese</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Name: Jon Civitarese</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Title: Senior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Morgan Stanley &amp; Co. LLC</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Kalli Dircks</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Name: Kalli Dircks</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Guggenheim Securities, LLC</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Jami Rubin</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Name: Jami Rubin</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Title: Senior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LifeSci Capital LLC</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Jared Sender MD, MBA</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Name: Jared Sender MD, MBA</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b/>
              </w:rPr>
            </w:pPr>
            <w:r>
              <w:rPr>
                <w:b/>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behalf of each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23"/>
        <w:gridCol w:w="389"/>
        <w:gridCol w:w="79"/>
        <w:gridCol w:w="1467"/>
        <w:gridCol w:w="60"/>
        <w:gridCol w:w="389"/>
        <w:gridCol w:w="138"/>
        <w:gridCol w:w="2297"/>
        <w:gridCol w:w="63"/>
      </w:tblGrid>
      <w:tr>
        <w:trPr/>
        <w:tc>
          <w:tcPr>
            <w:tcW w:w="5323"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389"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Number</w:t>
              <w:br/>
              <w:t>of Firm Shares</w:t>
              <w:br/>
              <w:t>to be</w:t>
              <w:br/>
              <w:t>Purchased</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Optional</w:t>
              <w:br/>
              <w:t>Shares to be Purchased</w:t>
              <w:br/>
              <w:t>if Maximum</w:t>
            </w:r>
            <w:r>
              <w:rPr/>
              <w:br/>
            </w:r>
            <w:r>
              <w:rPr>
                <w:b/>
              </w:rPr>
              <w:t>Option Exercised</w:t>
            </w:r>
          </w:p>
        </w:tc>
        <w:tc>
          <w:tcPr>
            <w:tcW w:w="63" w:type="dxa"/>
            <w:tcBorders/>
            <w:vAlign w:val="bottom"/>
          </w:tcPr>
          <w:p>
            <w:pPr>
              <w:pStyle w:val="TableContents"/>
              <w:bidi w:val="0"/>
              <w:spacing w:before="0" w:after="283"/>
              <w:jc w:val="left"/>
              <w:rPr/>
            </w:pPr>
            <w:r>
              <w:rPr/>
              <w:t> </w:t>
            </w:r>
          </w:p>
        </w:tc>
      </w:tr>
      <w:tr>
        <w:trPr/>
        <w:tc>
          <w:tcPr>
            <w:tcW w:w="5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283"/>
              <w:jc w:val="right"/>
              <w:rPr/>
            </w:pPr>
            <w:r>
              <w:rPr/>
              <w:t>5,424,650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283"/>
              <w:jc w:val="right"/>
              <w:rPr/>
            </w:pPr>
            <w:r>
              <w:rPr/>
              <w:t>813,698</w:t>
            </w:r>
          </w:p>
        </w:tc>
        <w:tc>
          <w:tcPr>
            <w:tcW w:w="63" w:type="dxa"/>
            <w:tcBorders/>
            <w:shd w:fill="CCEEFF" w:val="clear"/>
            <w:vAlign w:val="bottom"/>
          </w:tcPr>
          <w:p>
            <w:pPr>
              <w:pStyle w:val="TableContents"/>
              <w:bidi w:val="0"/>
              <w:spacing w:before="0" w:after="283"/>
              <w:jc w:val="left"/>
              <w:rPr/>
            </w:pPr>
            <w:r>
              <w:rPr/>
              <w:t> </w:t>
            </w:r>
          </w:p>
        </w:tc>
      </w:tr>
      <w:tr>
        <w:trPr/>
        <w:tc>
          <w:tcPr>
            <w:tcW w:w="5323"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8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283"/>
              <w:jc w:val="right"/>
              <w:rPr/>
            </w:pPr>
            <w:r>
              <w:rPr/>
              <w:t>5,001,950</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283"/>
              <w:jc w:val="right"/>
              <w:rPr/>
            </w:pPr>
            <w:r>
              <w:rPr/>
              <w:t>750,292</w:t>
            </w:r>
          </w:p>
        </w:tc>
        <w:tc>
          <w:tcPr>
            <w:tcW w:w="63" w:type="dxa"/>
            <w:tcBorders/>
            <w:vAlign w:val="bottom"/>
          </w:tcPr>
          <w:p>
            <w:pPr>
              <w:pStyle w:val="TableContents"/>
              <w:bidi w:val="0"/>
              <w:spacing w:before="0" w:after="283"/>
              <w:jc w:val="left"/>
              <w:rPr/>
            </w:pPr>
            <w:r>
              <w:rPr/>
              <w:t> </w:t>
            </w:r>
          </w:p>
        </w:tc>
      </w:tr>
      <w:tr>
        <w:trPr/>
        <w:tc>
          <w:tcPr>
            <w:tcW w:w="5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3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283"/>
              <w:jc w:val="right"/>
              <w:rPr/>
            </w:pPr>
            <w:r>
              <w:rPr/>
              <w:t>2,818,000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283"/>
              <w:jc w:val="right"/>
              <w:rPr/>
            </w:pPr>
            <w:r>
              <w:rPr/>
              <w:t>422,700</w:t>
            </w:r>
          </w:p>
        </w:tc>
        <w:tc>
          <w:tcPr>
            <w:tcW w:w="63" w:type="dxa"/>
            <w:tcBorders/>
            <w:shd w:fill="CCEEFF" w:val="clear"/>
            <w:vAlign w:val="bottom"/>
          </w:tcPr>
          <w:p>
            <w:pPr>
              <w:pStyle w:val="TableContents"/>
              <w:bidi w:val="0"/>
              <w:spacing w:before="0" w:after="283"/>
              <w:jc w:val="left"/>
              <w:rPr/>
            </w:pPr>
            <w:r>
              <w:rPr/>
              <w:t> </w:t>
            </w:r>
          </w:p>
        </w:tc>
      </w:tr>
      <w:tr>
        <w:trPr/>
        <w:tc>
          <w:tcPr>
            <w:tcW w:w="5323"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38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283"/>
              <w:jc w:val="right"/>
              <w:rPr/>
            </w:pPr>
            <w:r>
              <w:rPr/>
              <w:t>845,400</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283"/>
              <w:jc w:val="right"/>
              <w:rPr/>
            </w:pPr>
            <w:r>
              <w:rPr/>
              <w:t>126,810</w:t>
            </w:r>
          </w:p>
        </w:tc>
        <w:tc>
          <w:tcPr>
            <w:tcW w:w="63" w:type="dxa"/>
            <w:tcBorders/>
            <w:vAlign w:val="bottom"/>
          </w:tcPr>
          <w:p>
            <w:pPr>
              <w:pStyle w:val="TableContents"/>
              <w:bidi w:val="0"/>
              <w:spacing w:before="0" w:after="283"/>
              <w:jc w:val="left"/>
              <w:rPr/>
            </w:pPr>
            <w:r>
              <w:rPr/>
              <w:t> </w:t>
            </w:r>
          </w:p>
        </w:tc>
      </w:tr>
      <w:tr>
        <w:trPr/>
        <w:tc>
          <w:tcPr>
            <w:tcW w:w="5323"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4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229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283"/>
              <w:jc w:val="right"/>
              <w:rPr/>
            </w:pPr>
            <w:r>
              <w:rPr/>
              <w:t>14,090,000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283"/>
              <w:jc w:val="right"/>
              <w:rPr/>
            </w:pPr>
            <w:r>
              <w:rPr/>
              <w:t>2,113,500</w:t>
            </w:r>
          </w:p>
        </w:tc>
        <w:tc>
          <w:tcPr>
            <w:tcW w:w="63" w:type="dxa"/>
            <w:tcBorders/>
            <w:shd w:fill="CCEEFF" w:val="clear"/>
            <w:vAlign w:val="bottom"/>
          </w:tcPr>
          <w:p>
            <w:pPr>
              <w:pStyle w:val="TableContents"/>
              <w:bidi w:val="0"/>
              <w:spacing w:before="0" w:after="283"/>
              <w:jc w:val="left"/>
              <w:rPr/>
            </w:pPr>
            <w:r>
              <w:rPr/>
              <w:t> </w:t>
            </w:r>
          </w:p>
        </w:tc>
      </w:tr>
      <w:tr>
        <w:trPr/>
        <w:tc>
          <w:tcPr>
            <w:tcW w:w="5323"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4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229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left"/>
        <w:rPr>
          <w:rFonts w:ascii="Times New Roman" w:hAnsi="Times New Roman"/>
          <w:sz w:val="20"/>
        </w:rPr>
      </w:pPr>
      <w:r>
        <w:rPr>
          <w:rFonts w:ascii="Times New Roman" w:hAnsi="Times New Roman"/>
          <w:sz w:val="20"/>
        </w:rPr>
        <w:t xml:space="preserve">(a) Issuer Free Writing Prospectuses not included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120" w:after="0"/>
        <w:jc w:val="left"/>
        <w:rPr>
          <w:rFonts w:ascii="Times New Roman" w:hAnsi="Times New Roman"/>
          <w:sz w:val="20"/>
        </w:rPr>
      </w:pPr>
      <w:r>
        <w:rPr>
          <w:rFonts w:ascii="Times New Roman" w:hAnsi="Times New Roman"/>
          <w:sz w:val="20"/>
        </w:rPr>
        <w:t xml:space="preserve">(b) Additional Documents Incorporated by Reference: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120" w:after="0"/>
        <w:jc w:val="left"/>
        <w:rPr>
          <w:rFonts w:ascii="Times New Roman" w:hAnsi="Times New Roman"/>
          <w:sz w:val="20"/>
        </w:rPr>
      </w:pPr>
      <w:r>
        <w:rPr>
          <w:rFonts w:ascii="Times New Roman" w:hAnsi="Times New Roman"/>
          <w:sz w:val="20"/>
        </w:rPr>
        <w:t xml:space="preserve">(c) Information other than the Pricing Prospectus that comprise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The public offering price per share for the Shares is $35.50. </w:t>
      </w:r>
    </w:p>
    <w:p>
      <w:pPr>
        <w:pStyle w:val="TextBody"/>
        <w:bidi w:val="0"/>
        <w:spacing w:before="120" w:after="0"/>
        <w:jc w:val="left"/>
        <w:rPr>
          <w:rFonts w:ascii="Times New Roman" w:hAnsi="Times New Roman"/>
          <w:sz w:val="20"/>
        </w:rPr>
      </w:pPr>
      <w:r>
        <w:rPr>
          <w:rFonts w:ascii="Times New Roman" w:hAnsi="Times New Roman"/>
          <w:sz w:val="20"/>
        </w:rPr>
        <w:t xml:space="preserve">The number of Firm Shares purchased by the Underwriters is 14,090,000. </w:t>
      </w:r>
    </w:p>
    <w:p>
      <w:pPr>
        <w:pStyle w:val="TextBody"/>
        <w:bidi w:val="0"/>
        <w:spacing w:before="120" w:after="0"/>
        <w:jc w:val="left"/>
        <w:rPr>
          <w:rFonts w:ascii="Times New Roman" w:hAnsi="Times New Roman"/>
          <w:sz w:val="20"/>
        </w:rPr>
      </w:pPr>
      <w:r>
        <w:rPr>
          <w:rFonts w:ascii="Times New Roman" w:hAnsi="Times New Roman"/>
          <w:sz w:val="20"/>
        </w:rPr>
        <w:t xml:space="preserve">The number of Optional Shares potentially to be sold by the Company is up to 2,113,500. </w:t>
      </w:r>
    </w:p>
    <w:p>
      <w:pPr>
        <w:pStyle w:val="TextBody"/>
        <w:bidi w:val="0"/>
        <w:spacing w:before="120" w:after="0"/>
        <w:jc w:val="left"/>
        <w:rPr>
          <w:rFonts w:ascii="Times New Roman" w:hAnsi="Times New Roman"/>
          <w:sz w:val="20"/>
        </w:rPr>
      </w:pPr>
      <w:r>
        <w:rPr>
          <w:rFonts w:ascii="Times New Roman" w:hAnsi="Times New Roman"/>
          <w:sz w:val="20"/>
        </w:rPr>
        <w:t xml:space="preserve">(d) Written Testing-the-Waters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Amylyx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 2026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c/o 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LifeSci Capital LLC </w:t>
      </w:r>
    </w:p>
    <w:p>
      <w:pPr>
        <w:pStyle w:val="TextBody"/>
        <w:bidi w:val="0"/>
        <w:spacing w:before="240" w:after="0"/>
        <w:jc w:val="left"/>
        <w:rPr>
          <w:rFonts w:ascii="Times New Roman" w:hAnsi="Times New Roman"/>
          <w:sz w:val="20"/>
        </w:rPr>
      </w:pPr>
      <w:r>
        <w:rPr>
          <w:rFonts w:ascii="Times New Roman" w:hAnsi="Times New Roman"/>
          <w:sz w:val="20"/>
        </w:rPr>
        <w:t xml:space="preserve">c/o LifeSci Capital LLC </w:t>
      </w:r>
    </w:p>
    <w:p>
      <w:pPr>
        <w:pStyle w:val="TextBody"/>
        <w:bidi w:val="0"/>
        <w:spacing w:before="0" w:after="0"/>
        <w:jc w:val="left"/>
        <w:rPr>
          <w:rFonts w:ascii="Times New Roman" w:hAnsi="Times New Roman"/>
          <w:sz w:val="20"/>
        </w:rPr>
      </w:pPr>
      <w:r>
        <w:rPr>
          <w:rFonts w:ascii="Times New Roman" w:hAnsi="Times New Roman"/>
          <w:sz w:val="20"/>
        </w:rPr>
        <w:t xml:space="preserve">1700 Broadway, 40th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Amylyx Pharmaceuticals, Inc.—Lock-Up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Leerink Partners LLC, Morgan Stanley &amp; Co. LLC, Guggenheim Securities, LLC and LifeSci Capital LLC, as representatives (the “Representatives”), propose to enter into an underwriting agreement (the “Underwriting Agreement”) on behalf of the several Underwriters named in Schedule I to such agreement (collectively, the “Underwriters”), with Amylyx Pharmaceuticals, Inc., a Delaware corporation (the “Company”), providing for a public offering (the “Public Offering”) of shares of common stock, par value $0.0001 per share (“Common Stock”), of the Company (the “Shares”) and, potentially, prefunded warrants to purchase Common Stock (the “Warrants” and together with the Shares, the “Securities”) pursuant to a Registration Statement on Form S-3ASR filed with the Securities and Exchange Commission.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consideration of the agreement by the Underwriters to offer and sell the Securities, and of other good and valuable consideration the receipt and sufficiency of which is hereby acknowledged, the undersigned agrees that, during the period beginning from the date of this Lock-Up Agreement and continuing to and including the date 45 days after the date set forth on the final prospectus (the “Prospectus”) used to sell the Securities (the “Lock-Up Period”), the undersigned shall not, and shall not cause or direct any of its affiliates to, (i)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Common Stock (such options, warrants or other securities, collectively, “Derivative Instruments”), including without limitation any such shares or Derivative Instruments now owned or hereafter acquired by the undersigned (such Common Stock and Derivative Instruments, collectively, the “Undersigned’s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of the Undersigned’s Shares, whether any such transaction or arrangement (or instrument provided for thereunder) would be settled by delivery of Common Stock or other securities of the Company,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transfer or otherwise dispose of the Undersigned’s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bona fide gift or gifts or to a charitable organization or educational institution for no value, provided that the donee or donees thereof agree to be bound in writing by the restrictions set forth herein and provided further that any filing made under Section 16 of the Exchange Act shall include a footnote noting the circumstances described in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member of the undersigned’s immediate family or any trust for the direct or indirect benefit of the undersigned or the immediate family of the undersigned, provided that the member of the undersigned’s immediate family or trustee of the trust agrees to be bound in writing by the restrictions set forth herein, and provided further that any such transfer shall not involve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other testamentary document or by intestacy, provided that any filing made under Section 16 of the Exchange Act shall include a footnote noting the circumstances described in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order or settlement or other domestic order related to the distribution of assets in connection with the dissolution of a marriage or civil union, provided that any filing made under Section 16 of the Exchange Act shall include a footnote noting the circumstances described in this clause;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general or limited partners, members, stockholders, other equity holders or trust beneficiaries of the undersigned or to any investment fund or other entity that controls or manages, or is under common control with, the undersigned, provided that any such transferee agrees to be bound in writing by the restrictions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in the Public Offering or acquired in open market transactions after the completion of the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surrender or forfeiture of shares of Common Stock or other securities of the Company to the Company to satisfy tax withholding obligations upon exercise or vesting or the exercise price upon a cashless net exercise, in each case, of share options, equity awards, warrants or other rights to acquire shares of Common Stock, provided that any filing made under Section 16 of the Exchange Act shall include a footnote noting the circumstances described in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bona fide third-party tender offer, merger, consolidation, business combination, stock purchase or other similar transaction or series of related transactions approved by the Board of Directors of the Company and made to all holders of the Company’s capital stock involving a Change in Control (as defined below), provided that in the event that such tender offer, merger, consolidation, business combination, stock purchase or transaction or series of related transactions is not completed, the Undersigned’s Shares shall remain subject to the restrictions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contract, instruction or plan that met the requirements of Rule 10b5-1 under the Exchange Act on the date such contract, instruction or plan was entered into or adopted (a “10b5-1 Plan”); provided that such 10b5-1 Plan was established prior to the execution of this Lock-Up Agreement by the undersigned, the existence and details of such 10b5-1 Plan were communicated to the Representatives and such 10b5-1 Plan will not be amended or otherwise modified during the Lock-Up Period; and provided, further, that any filing made under Section 16 of the Exchange Act shall include a footnote noting the circumstances described in this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(x)</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“sell-to-cover” transactions in connection with the vesting, settlement, or exercise of restricted stock units, performance stock units, options, warrants or other rights to purchase shares of Common Stock, including for the payment of exercise price and tax and remittance payments due as a result of the vesting, settlement, or exercise of such restricted stock units, performance stock units, options, warrants or rights, provided that any filing made under Section 16 of the Exchange Act shall include a footnote noting the circumstances described in this clause;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prior written consent of Leerink Partners LLC, Morgan Stanley &amp; Co. LLC and Guggenheim Securities, LLC on behalf of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with respect to clauses (i), (ii), (iii), (iv), (v) and (vii) above, it shall be a condition to such transfer that no filing under the Exchange Act or other disclosure of such transfer shall be required or voluntarily made during the Lock-Up Period, except (a) as contemplated by clauses (i), (iii), (iv), (vii), (ix) and (x) above and (b) any required filings on Form 5 the filing deadline for which falls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“immediate family” shall mean any relationship by blood, marriage or adoption, not more remote than first cousin and “Change in Control” shall mean the transfer (whether by tender offer, merger, consolidation or other similar transaction), in one transaction or a series of related transactions, in each case occurring subsequent to the Public Offering,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notwithstanding the foregoing, (1) if the undersigned is a corporation, the corporation may transfer the capital stock of the Company to any wholly-owned subsidiary of such corporation; provided, however, that in any such case, it shall be a condition to the transfer that the transferee execute an agreement stating that the transferee is receiving and holding such capital stock subject to the provisions of this Lock-Up Agreement and there shall be no further transfer of such capital stock except in accordance with this Lock-Up Agreement, and provided further that any such transfer shall not involve a disposition for value; provided further that no filing under the Exchange Act or other public disclosure reporting a reduction in beneficial ownership of Common Stock shall be required or shall be voluntarily made during the Lock-Up Period and (2) the restrictions on transfer and disposition of the Undersigned’s Shares during the Lock-Up Period shall not apply to the repurchase of the Undersigned’s Shares by the Company pursuant to any contractual arrangement in effect on the date of this agreement and disclosed in the Prospectus that provides for the repurchase of the undersigned’s Common Stock or in connection with the termination of the undersigned’s employment or other service with the Company; provided that no filing under the Exchange Act or other public disclosure of such repurchase shall be voluntarily made during the Lock-Up Period and any filing under the Exchange Act or other public disclosure required to be made during the Lock-Up Period shall include a statement to the effect that such repurchase related to the circumstances described in this clause (2).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now has, and, except as contemplated by the terms hereof,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may enter into a 10b5-1 Plan (other than the entry into such a plan in such a manner as to allow the sale of shares of Common Stock, in each case, within the Lock-Up Period); provided, however that, no sale of shares of Common Stock may be made under such 10b5-1 Plan during the Lock-Up Period; provided further that no filing under the Exchange Act or public disclosure regarding the establishment of such plan shall be voluntarily made during the Lock-Up Period and any such filing or public disclosure that is required to be made during the Lock-Up Period shall include a statement to the effect that no disposition of the Undersigned’s Shares may be made under such plan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this Lock-Up Agreement will automatically terminate and the undersigned will be released from all of his, her or its obligations hereunder upon the earliest to occur, if any, of (i) prior to the execution of the Underwriting Agreement, the Company advises the Representatives in writing that it has determined not to proceed with the Public Offering of the Securities, (ii) prior to the execution of the Underwriting Agreement, the date on which the Company files an application to withdraw the registration statement related to the Public Offering of the Securities, (iii) the Underwriting Agreement is executed but is terminated (other than the provisions thereof which survive termination) prior to payment for and delivery of the Securities to be sold thereunder or (iv) the Public Offering has not been consummated on or prior to September 30,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Lock-Up Agreement in proceeding toward consummation of the Public Offering and that the Company shall be deemed a third-party beneficiary hereto. The undersigned further understands that this Lock-Up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blank]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Exact Name of Shareholder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4" w:name="d179247dex51.htm"/>
      <w:bookmarkStart w:id="5" w:name="ksd179247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4"/>
        <w:gridCol w:w="101"/>
        <w:gridCol w:w="2450"/>
      </w:tblGrid>
      <w:tr>
        <w:trPr/>
        <w:tc>
          <w:tcPr>
            <w:tcW w:w="76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7654" w:type="dxa"/>
            <w:vMerge w:val="restart"/>
            <w:tcBorders/>
          </w:tcPr>
          <w:p>
            <w:pPr>
              <w:pStyle w:val="TableContents"/>
              <w:bidi w:val="0"/>
              <w:spacing w:before="0" w:after="0"/>
              <w:jc w:val="left"/>
              <w:rPr/>
            </w:pPr>
            <w:r>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1910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tc>
      </w:tr>
      <w:tr>
        <w:trPr/>
        <w:tc>
          <w:tcPr>
            <w:tcW w:w="7654"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The New York Times Building</w:t>
            </w:r>
          </w:p>
          <w:p>
            <w:pPr>
              <w:pStyle w:val="TableContents"/>
              <w:bidi w:val="0"/>
              <w:spacing w:before="0" w:after="20"/>
              <w:jc w:val="left"/>
              <w:rPr>
                <w:rFonts w:ascii="Times New Roman" w:hAnsi="Times New Roman"/>
                <w:sz w:val="20"/>
              </w:rPr>
            </w:pPr>
            <w:r>
              <w:rPr>
                <w:rFonts w:ascii="Times New Roman" w:hAnsi="Times New Roman"/>
                <w:sz w:val="20"/>
              </w:rPr>
              <w:t>620 Eighth Avenue</w:t>
            </w:r>
          </w:p>
        </w:tc>
      </w:tr>
      <w:tr>
        <w:trPr/>
        <w:tc>
          <w:tcPr>
            <w:tcW w:w="7654"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New York, NY 10018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goodwinlaw.com</w:t>
            </w:r>
          </w:p>
        </w:tc>
      </w:tr>
      <w:tr>
        <w:trPr/>
        <w:tc>
          <w:tcPr>
            <w:tcW w:w="7654"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+1 212 813 8800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August 20, 2026 </w:t>
      </w:r>
    </w:p>
    <w:p>
      <w:pPr>
        <w:pStyle w:val="TextBody"/>
        <w:bidi w:val="0"/>
        <w:spacing w:before="240" w:after="0"/>
        <w:jc w:val="left"/>
        <w:rPr>
          <w:rFonts w:ascii="Times New Roman" w:hAnsi="Times New Roman"/>
          <w:sz w:val="20"/>
        </w:rPr>
      </w:pPr>
      <w:r>
        <w:rPr>
          <w:rFonts w:ascii="Times New Roman" w:hAnsi="Times New Roman"/>
          <w:sz w:val="20"/>
        </w:rPr>
        <w:t xml:space="preserve">Amylyx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55 Cambridge Parkway, Suite 6W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S-3ASR (File No. 333-293956) (as amended or supplemented, the “Registration Statement”) filed on March 3, 2026 with the Securities and Exchange Commission (the “Commission”) pursuant to the Securities Act of 1933, as amended (the “Securities Act”), relating to the registration of the offer by Amylyx Pharmaceuticals, Inc., a Delaware corporation (the “Company”), of an indeterminate amount of any combination of securities of the types specified therein. The Registration Statement automatically became effective upon filing on March 3, 2026. Reference is made to our opinion letter dated March 3, 2026 and included as Exhibit 5.1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delivering this supplemental opinion letter in connection with the prospectus supplement (the “Prospectus Supplement”) filed on August 20, 2026 by the Company with the Commission pursuant to Rule 424 under the Securities Act. The Prospectus Supplement relates to the offering by the Company of up to 16,203,500 shares (the “Shares”) of the Company’s common stock, par value $0.0001 per share, covered by the Registration Statement. The Shares include an over-allotment option granted to the underwriters of the offering to purchase 2,113,500 Shares. The Shares are being sold to the several underwriters named in, and pursuant to, an underwriting agreement among the Company and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Based on the foregoing, we are of the opinion that the Shares have been duly authorized and, when delivered and paid for in accordance with the terms of the Underwriting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 xml:space="preserve">Business Lawyer </w:t>
      </w:r>
      <w:r>
        <w:rPr>
          <w:rFonts w:ascii="Times New Roman" w:hAnsi="Times New Roman"/>
          <w:sz w:val="20"/>
        </w:rPr>
        <w:t xml:space="preserve">815 (Summer 2019).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Amylyx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GOODWIN PROCTER </w:t>
            </w:r>
            <w:r>
              <w:rPr>
                <w:sz w:val="20"/>
              </w:rPr>
              <w:t>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22475</Words>
  <Characters>118784</Characters>
  <CharactersWithSpaces>141338</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