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Bedrosian Camille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AMYLYX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CAMBRIDGE PARKWAY, SUITE 6W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Amylyx Pharmaceuticals, Inc.</w:t>
              </w:r>
            </w:hyperlink>
            <w:r>
              <w:rPr/>
              <w:t xml:space="preserve"> [ </w:t>
            </w:r>
            <w:r>
              <w:rPr>
                <w:rFonts w:ascii="Times;serif" w:hAnsi="Times;serif"/>
                <w:color w:val="0000FF"/>
                <w:sz w:val="24"/>
                <w:shd w:fill="FFFFFF" w:val="clear"/>
              </w:rPr>
              <w:t>AMLX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22,807</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288,092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are represented by performance share units, or PSUs, and were awarded upon the achievement of certain performance metrics. Shares subject to the PSU vested on August 18,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B. Cohen,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6969" TargetMode="External"/><Relationship Id="rId5" Type="http://schemas.openxmlformats.org/officeDocument/2006/relationships/hyperlink" Target="http://www.sec.gov/cgi-bin/browse-edgar?action=getcompany&amp;CIK=00016585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3286</Characters>
  <CharactersWithSpaces>3822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