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Mazzariello Gina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AMYLYX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 CAMBRIDGE PARKWAY, SUITE 6W</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Amylyx Pharmaceuticals, Inc.</w:t>
              </w:r>
            </w:hyperlink>
            <w:r>
              <w:rPr/>
              <w:t xml:space="preserve"> [ </w:t>
            </w:r>
            <w:r>
              <w:rPr>
                <w:rFonts w:ascii="Times;serif" w:hAnsi="Times;serif"/>
                <w:color w:val="0000FF"/>
                <w:sz w:val="24"/>
                <w:shd w:fill="FFFFFF" w:val="clear"/>
              </w:rPr>
              <w:t>AMLX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9,525</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32.4556</w:t>
            </w:r>
            <w:r>
              <w:rPr>
                <w:rFonts w:ascii="Times;serif" w:hAnsi="Times;serif"/>
                <w:color w:val="008000"/>
                <w:position w:val="7"/>
                <w:sz w:val="16"/>
                <w:sz w:val="20"/>
                <w:shd w:fill="FFFFFF" w:val="clear"/>
              </w:rPr>
              <w:t>(2)</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190,849</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33.34</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190,838</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required to be sold by the Reporting Person to cover tax withholding obligations in connection with the vesting of performance stock units. Such sales were automatic and not at the discretion of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$32.34 to $33.26. Full information regarding the number of shares sold at each separate price can be furnished to the SEC staff upon request.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Joshua B. Cohen, as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13765" TargetMode="External"/><Relationship Id="rId5" Type="http://schemas.openxmlformats.org/officeDocument/2006/relationships/hyperlink" Target="http://www.sec.gov/cgi-bin/browse-edgar?action=getcompany&amp;CIK=00016585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665</Words>
  <Characters>3592</Characters>
  <CharactersWithSpaces>4180</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