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Joshua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AMYLYX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CAMBRIDGE PARKWAY, SUITE 6W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Amylyx Pharmaceuticals, Inc.</w:t>
              </w:r>
            </w:hyperlink>
            <w:r>
              <w:rPr/>
              <w:t xml:space="preserve"> [ </w:t>
            </w:r>
            <w:r>
              <w:rPr>
                <w:rFonts w:ascii="Times;serif" w:hAnsi="Times;serif"/>
                <w:color w:val="0000FF"/>
                <w:sz w:val="24"/>
                <w:shd w:fill="FFFFFF" w:val="clear"/>
              </w:rPr>
              <w:t>AMLX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29,545</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32.1557</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3,614,042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33.1488</w:t>
            </w:r>
            <w:r>
              <w:rPr>
                <w:rFonts w:ascii="Times;serif" w:hAnsi="Times;serif"/>
                <w:color w:val="008000"/>
                <w:position w:val="7"/>
                <w:sz w:val="16"/>
                <w:sz w:val="20"/>
                <w:shd w:fill="FFFFFF" w:val="clear"/>
              </w:rPr>
              <w:t>(3)</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3,613,123</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required to be sold by the Reporting Person to cover tax withholding obligations in connection with the vesting of performance stock units. Such sales were automatic and not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$31.81 to $32.73. Full information regarding the number of shares sold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$32.855 to $33.27. Full information regarding the number of shares sold at each separate price can be furnished to the SEC staff upon request.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B.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8644" TargetMode="External"/><Relationship Id="rId5" Type="http://schemas.openxmlformats.org/officeDocument/2006/relationships/hyperlink" Target="http://www.sec.gov/cgi-bin/browse-edgar?action=getcompany&amp;CIK=00016585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3818</Characters>
  <CharactersWithSpaces>4449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