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AMYLYX PHARMACEUTICALS,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001-41199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46-4600503</w:t>
      </w:r>
    </w:p>
    <w:p>
      <w:pPr>
        <w:spacing w:after="0" w:line="24" w:lineRule="exact"/>
        <w:rPr>
          <w:sz w:val="24"/>
          <w:szCs w:val="24"/>
          <w:color w:val="auto"/>
        </w:rPr>
      </w:pPr>
    </w:p>
    <w:p>
      <w:pPr>
        <w:sectPr>
          <w:pgSz w:w="11900" w:h="16838" w:orient="portrait"/>
          <w:cols w:equalWidth="0" w:num="3">
            <w:col w:w="4524" w:space="720"/>
            <w:col w:w="286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55 Cambridge Parkway, Suite 6W</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Cambridge, MA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02142</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682-0917</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AMLX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Amylyx Pharmaceuticals, Inc. (the “Company”) held its Annual Meeting of Stockholders on June 4, 2026 (the “Annual Meeting”). At the Annual Meeting, the Company’s stockholders considered and voted on the three proposals set forth below, each of which is described in greater detail in the Company’s Proxy Statement, filed with the Securities and Exchange Commission on April 23, 2026. The final voting results are set forth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II Directors</w:t>
      </w:r>
    </w:p>
    <w:p>
      <w:pPr>
        <w:spacing w:after="0" w:line="11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elected each of George Mclean Milne Jr., Ph.D. and Paul Fonteyne as a Class II director of the Company, for a three-year term ending at the annual meeting of stockholders to be held in 2029 or until their successor has been duly elected and qualified or until such director’s earlier resignation or removal. The results of the stockholders’ vote with respect to the election of the Class II directors were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10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George Mclean Milne Jr.,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76,937,972</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14,108,630</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11,029,810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Fonteyne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86,275,670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4,770,932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11,029,810</w:t>
            </w:r>
          </w:p>
        </w:tc>
        <w:tc>
          <w:tcPr>
            <w:tcW w:w="6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Independent Registered Public Accounting Firm</w:t>
      </w:r>
    </w:p>
    <w:p>
      <w:pPr>
        <w:spacing w:after="0" w:line="117"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The stockholders of the Company ratified the selection of Deloitte &amp; Touche LLP as the Company’s independent registered public accounting firm for the fiscal year ending December 31, 2026. The results of the stockholders’ vote with respect to such ratification were as follows:</w:t>
      </w:r>
    </w:p>
    <w:p>
      <w:pPr>
        <w:spacing w:after="0" w:line="160"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348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14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4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09"/>
        </w:trPr>
        <w:tc>
          <w:tcPr>
            <w:tcW w:w="3480" w:type="dxa"/>
            <w:vAlign w:val="bottom"/>
            <w:gridSpan w:val="3"/>
            <w:shd w:val="clear" w:color="auto" w:fill="CCEEFF"/>
          </w:tcPr>
          <w:p>
            <w:pPr>
              <w:jc w:val="right"/>
              <w:ind w:right="2000"/>
              <w:spacing w:after="0"/>
              <w:rPr>
                <w:sz w:val="20"/>
                <w:szCs w:val="20"/>
                <w:color w:val="auto"/>
              </w:rPr>
            </w:pPr>
            <w:r>
              <w:rPr>
                <w:rFonts w:ascii="Times New Roman" w:cs="Times New Roman" w:eastAsia="Times New Roman" w:hAnsi="Times New Roman"/>
                <w:sz w:val="18"/>
                <w:szCs w:val="18"/>
                <w:color w:val="auto"/>
              </w:rPr>
              <w:t>102,036,295</w:t>
            </w:r>
          </w:p>
        </w:tc>
        <w:tc>
          <w:tcPr>
            <w:tcW w:w="8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34,484</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54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3 – Non-Binding, Advisory Vote on the Compensation of the Company’s Named Executive Officers</w:t>
      </w:r>
    </w:p>
    <w:p>
      <w:pPr>
        <w:spacing w:after="0" w:line="11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approved, on a non-binding, advisory basis, the compensation of the Company’s named executive officers . The results of the stockholders’ vote with respect to such approval were as follows:</w:t>
      </w:r>
    </w:p>
    <w:p>
      <w:pPr>
        <w:spacing w:after="0" w:line="182" w:lineRule="exact"/>
        <w:rPr>
          <w:sz w:val="20"/>
          <w:szCs w:val="20"/>
          <w:color w:val="auto"/>
        </w:rPr>
      </w:pPr>
    </w:p>
    <w:tbl>
      <w:tblPr>
        <w:tblLayout w:type="fixed"/>
        <w:tblInd w:w="1100" w:type="dxa"/>
        <w:tblCellMar>
          <w:top w:w="0" w:type="dxa"/>
          <w:left w:w="0" w:type="dxa"/>
          <w:bottom w:w="0" w:type="dxa"/>
          <w:right w:w="0" w:type="dxa"/>
        </w:tblCellMar>
      </w:tblPr>
      <w:tr>
        <w:trPr>
          <w:trHeight w:val="173"/>
        </w:trPr>
        <w:tc>
          <w:tcPr>
            <w:tcW w:w="860" w:type="dxa"/>
            <w:vAlign w:val="bottom"/>
          </w:tcPr>
          <w:p>
            <w:pPr>
              <w:spacing w:after="0"/>
              <w:rPr>
                <w:sz w:val="15"/>
                <w:szCs w:val="15"/>
                <w:color w:val="auto"/>
              </w:rPr>
            </w:pPr>
          </w:p>
        </w:tc>
        <w:tc>
          <w:tcPr>
            <w:tcW w:w="278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Votes Against</w:t>
            </w:r>
          </w:p>
        </w:tc>
        <w:tc>
          <w:tcPr>
            <w:tcW w:w="322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10"/>
        </w:trPr>
        <w:tc>
          <w:tcPr>
            <w:tcW w:w="3640" w:type="dxa"/>
            <w:vAlign w:val="bottom"/>
            <w:gridSpan w:val="3"/>
            <w:shd w:val="clear" w:color="auto" w:fill="CCEEFF"/>
          </w:tcPr>
          <w:p>
            <w:pPr>
              <w:jc w:val="right"/>
              <w:ind w:right="2080"/>
              <w:spacing w:after="0"/>
              <w:rPr>
                <w:sz w:val="20"/>
                <w:szCs w:val="20"/>
                <w:color w:val="auto"/>
              </w:rPr>
            </w:pPr>
            <w:r>
              <w:rPr>
                <w:rFonts w:ascii="Times New Roman" w:cs="Times New Roman" w:eastAsia="Times New Roman" w:hAnsi="Times New Roman"/>
                <w:sz w:val="18"/>
                <w:szCs w:val="18"/>
                <w:color w:val="auto"/>
              </w:rPr>
              <w:t>77,534,824</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13,490,653</w:t>
            </w:r>
          </w:p>
        </w:tc>
        <w:tc>
          <w:tcPr>
            <w:tcW w:w="322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21,125</w:t>
            </w: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11,029,810</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AMYLYX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 Frates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M. Frates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2026-06-04T15:11:05Z</dcterms:created>
  <dcterms:modified xsi:type="dcterms:W3CDTF">2026-06-04T15:11:05Z</dcterms:modified>
</cp:coreProperties>
</file>