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0581d424b5.htm"/>
        <w:bookmarkStart w:id="1" w:name="ksd180581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333-293956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March 3,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03550" cy="6280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3550" cy="6280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14,090,000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14,090,000 shares of our common stock, par value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or Nasdaq, under the symbol “AMLX.” On August 18, 2026, the closing price of our common stock, as reported on Nasdaq, was $35.11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i/>
          <w:sz w:val="24"/>
        </w:rPr>
        <w:t>Investing in our securities involves significant risks that are described in the “</w:t>
      </w:r>
      <w:hyperlink w:anchor="supprom180581_4">
        <w:r>
          <w:rPr>
            <w:rStyle w:val="InternetLink"/>
            <w:rFonts w:ascii="Times New Roman" w:hAnsi="Times New Roman"/>
            <w:b/>
            <w:i/>
            <w:sz w:val="24"/>
          </w:rPr>
          <w:t>RISK FACTORS</w:t>
        </w:r>
      </w:hyperlink>
      <w:r>
        <w:rPr>
          <w:rFonts w:ascii="Times New Roman" w:hAnsi="Times New Roman"/>
          <w:b/>
          <w:i/>
          <w:sz w:val="24"/>
        </w:rPr>
        <w:t xml:space="preserve">” section beginning on page S-7 of this prospectus supplement and page 8 of the accompanying prospectus, and in the other documents that are incorporated by reference herein. You should read the entire prospectus supplement and the accompanying prospectus, including any information incorporated by reference herein or therein,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We are a smaller reporting company as defined under Rule 405 of the Securities Act of 1933, as amended, or the Securities Act, and, as such, are subject to certain reduced public company reporting requirements. See “</w:t>
      </w:r>
      <w:r>
        <w:rPr>
          <w:rFonts w:ascii="Times New Roman" w:hAnsi="Times New Roman"/>
          <w:i/>
          <w:sz w:val="20"/>
        </w:rPr>
        <w:t>Prospectus Supplement Summary—Implications of Being a Smaller Reporting Company</w:t>
      </w:r>
      <w:r>
        <w:rPr>
          <w:rFonts w:ascii="Times New Roman" w:hAnsi="Times New Roman"/>
          <w:sz w:val="20"/>
        </w:rPr>
        <w:t xml:space="preserve">” on page S-4 of this prospectus supplement.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41"/>
        <w:gridCol w:w="355"/>
        <w:gridCol w:w="140"/>
        <w:gridCol w:w="746"/>
        <w:gridCol w:w="60"/>
        <w:gridCol w:w="355"/>
        <w:gridCol w:w="140"/>
        <w:gridCol w:w="1353"/>
        <w:gridCol w:w="65"/>
      </w:tblGrid>
      <w:tr>
        <w:trPr/>
        <w:tc>
          <w:tcPr>
            <w:tcW w:w="4541"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541"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35.500</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500,195,000</w:t>
            </w:r>
          </w:p>
        </w:tc>
        <w:tc>
          <w:tcPr>
            <w:tcW w:w="65" w:type="dxa"/>
            <w:tcBorders/>
            <w:shd w:fill="CCEEFF" w:val="clear"/>
            <w:vAlign w:val="bottom"/>
          </w:tcPr>
          <w:p>
            <w:pPr>
              <w:pStyle w:val="TableContents"/>
              <w:bidi w:val="0"/>
              <w:spacing w:before="0" w:after="283"/>
              <w:jc w:val="left"/>
              <w:rPr/>
            </w:pPr>
            <w:r>
              <w:rPr/>
              <w:t> </w:t>
            </w:r>
          </w:p>
        </w:tc>
      </w:tr>
      <w:tr>
        <w:trPr/>
        <w:tc>
          <w:tcPr>
            <w:tcW w:w="4541"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6" w:type="dxa"/>
            <w:tcBorders/>
            <w:vAlign w:val="bottom"/>
          </w:tcPr>
          <w:p>
            <w:pPr>
              <w:pStyle w:val="TableContents"/>
              <w:bidi w:val="0"/>
              <w:spacing w:before="0" w:after="283"/>
              <w:jc w:val="right"/>
              <w:rPr/>
            </w:pPr>
            <w:r>
              <w:rPr/>
              <w:t>1.988</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3" w:type="dxa"/>
            <w:tcBorders/>
            <w:vAlign w:val="bottom"/>
          </w:tcPr>
          <w:p>
            <w:pPr>
              <w:pStyle w:val="TableContents"/>
              <w:bidi w:val="0"/>
              <w:spacing w:before="0" w:after="283"/>
              <w:jc w:val="right"/>
              <w:rPr/>
            </w:pPr>
            <w:r>
              <w:rPr/>
              <w:t>28,010,920</w:t>
            </w:r>
          </w:p>
        </w:tc>
        <w:tc>
          <w:tcPr>
            <w:tcW w:w="65" w:type="dxa"/>
            <w:tcBorders/>
            <w:vAlign w:val="bottom"/>
          </w:tcPr>
          <w:p>
            <w:pPr>
              <w:pStyle w:val="TableContents"/>
              <w:bidi w:val="0"/>
              <w:spacing w:before="0" w:after="283"/>
              <w:jc w:val="left"/>
              <w:rPr/>
            </w:pPr>
            <w:r>
              <w:rPr/>
              <w:t> </w:t>
            </w:r>
          </w:p>
        </w:tc>
      </w:tr>
      <w:tr>
        <w:trPr/>
        <w:tc>
          <w:tcPr>
            <w:tcW w:w="4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33.512</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472,184,080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We have agreed to reimburse the underwriters for certain expenses. See “</w:t>
            </w:r>
            <w:r>
              <w:rPr>
                <w:rFonts w:ascii="Times New Roman" w:hAnsi="Times New Roman"/>
                <w:i/>
                <w:sz w:val="20"/>
              </w:rPr>
              <w:t>Underwriting</w:t>
            </w:r>
            <w:r>
              <w:rPr>
                <w:rFonts w:ascii="Times New Roman" w:hAnsi="Times New Roman"/>
                <w:sz w:val="20"/>
              </w:rPr>
              <w:t xml:space="preserve">” beginning on page S-20 of this prospectus supplement for additional information regarding the compensation payable to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granted the underwriters an option for a period of 30 days to purchase up to an additional 2,113,500 shares of our common stock at the public offering price less the underwriting discounts and commissions.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is truthful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expect to deliver the shares of common stock against payment on or about August 21,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5"/>
        <w:gridCol w:w="102"/>
        <w:gridCol w:w="2347"/>
        <w:gridCol w:w="101"/>
        <w:gridCol w:w="3267"/>
        <w:gridCol w:w="101"/>
        <w:gridCol w:w="2042"/>
      </w:tblGrid>
      <w:tr>
        <w:trPr/>
        <w:tc>
          <w:tcPr>
            <w:tcW w:w="224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Leerink Partners</w:t>
            </w:r>
          </w:p>
        </w:tc>
        <w:tc>
          <w:tcPr>
            <w:tcW w:w="102" w:type="dxa"/>
            <w:tcBorders/>
            <w:vAlign w:val="bottom"/>
          </w:tcPr>
          <w:p>
            <w:pPr>
              <w:pStyle w:val="TableContents"/>
              <w:bidi w:val="0"/>
              <w:spacing w:before="0" w:after="283"/>
              <w:jc w:val="left"/>
              <w:rPr/>
            </w:pPr>
            <w:r>
              <w:rPr/>
              <w:t> </w:t>
            </w:r>
          </w:p>
        </w:tc>
        <w:tc>
          <w:tcPr>
            <w:tcW w:w="2347" w:type="dxa"/>
            <w:tcBorders/>
          </w:tcPr>
          <w:p>
            <w:pPr>
              <w:pStyle w:val="TableContents"/>
              <w:bidi w:val="0"/>
              <w:spacing w:before="0" w:after="283"/>
              <w:jc w:val="right"/>
              <w:rPr>
                <w:b/>
              </w:rPr>
            </w:pPr>
            <w:r>
              <w:rPr>
                <w:b/>
              </w:rPr>
              <w:t>Morgan Stanley</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Guggenheim Securities</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right"/>
              <w:rPr>
                <w:b/>
              </w:rPr>
            </w:pPr>
            <w:r>
              <w:rPr>
                <w:b/>
              </w:rPr>
              <w:t>LifeSci Capital</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August 19,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5">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7">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8">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9">
              <w:r>
                <w:rPr>
                  <w:rStyle w:val="InternetLink"/>
                  <w:rFonts w:ascii="Times New Roman" w:hAnsi="Times New Roman"/>
                  <w:sz w:val="20"/>
                </w:rPr>
                <w:t>CERTAIN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4">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2">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3">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6">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7">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8">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9">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0">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1">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2">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3">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4">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8058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has two parts. The first part is this prospectus supplement, which describes the specific terms of this offering of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our shelf registration statement on Form S-3 (File No. 333-293956) that we filed with the Securities and Exchange Commission, or the SEC, on March 3, 2026, using a “shelf” registration process as a “well-known seasoned issuer” as defined in Rule 405 of the Securities Act of 1933, as amended, or the Securities Act, which became automatically effective upon filing. Under this shelf registration process, we may from time to time offer and sell any combination of the securities described in the accompanying prospectus, of which this offering is a part.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supplement, the accompanying prospectus and any free writing prospectus prepared by us or on our behalf. We have not, and the underwriters have not, authorized any other person to provide you with information different from that contained in this prospectus supplement and the accompanying prospectus or incorporated by reference in this prospectus supplement and the accompanying prospectus. If anyone provides you with different or inconsistent information, you should not rely on it. We are not, and the underwriters are not, making an offer to sell or soliciting an offer to buy these securities under any circumstance in any jurisdiction where the offer or solicitation is not permitted. You should assume that the information contained in this prospectus supplement, the accompanying prospectus and any free writing prospectus prepared by us or on our behalf is accurate only as of the date of the respective document in which the information appears, and that any information in documents that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 This prospectus supplement, the accompanying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w:t>
      </w:r>
    </w:p>
    <w:p>
      <w:pPr>
        <w:pStyle w:val="TextBody"/>
        <w:bidi w:val="0"/>
        <w:spacing w:before="240" w:after="0"/>
        <w:jc w:val="left"/>
        <w:rPr>
          <w:rFonts w:ascii="Times New Roman" w:hAnsi="Times New Roman"/>
          <w:sz w:val="20"/>
        </w:rPr>
      </w:pPr>
      <w:r>
        <w:rPr>
          <w:rFonts w:ascii="Times New Roman" w:hAnsi="Times New Roman"/>
          <w:sz w:val="20"/>
        </w:rPr>
        <w:t>It is important for you to read and consider all of the information contained in this prospectus supplement and the accompanying prospectus before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of this prospectus supplement,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prospectus supplement and the accompanying prospectus to our consolidated financial statements include the related notes thereto.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terms “Amylyx,” “the Company,” “we,” “us,” and “our” refer to Amylyx Pharmaceuticals, Inc. and its consolidated subsidiaries, unless the context otherwise requires. Amylyx and other trademarks or service marks of Amylyx appearing in this prospectus supplement are the property of Amylyx. The other trademarks, trade names and service marks appearing in this prospectus supplement are the property of their respective owners. Solely for convenience, the trademarks and trade names in this prospectus supplement are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rom180581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prospectus, including the documents incorporated by reference, which are described under “Incorporation of certain information by reference” in this prospectus supplement. You should also carefully consider the matters discussed in the section of this prospectus supplement entitled “Risk Factors” on page S-7 of this prospectus supplement and in the section entitled “Risk Factors” of our Quarterly Report on Form 10-Q for the quarter ended June 30, 2026, and any subsequent reports we file with the SEC,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pre-commercial pharmaceutical company with a mission to develop and advance novel therapies for communities with high unmet medical needs. We have preclinical and clinical development programs underway in endocrine conditions and neurodegenerative diseases. We are advancing a pipeline in which we have matched investigational therapies with diseases for which we believe these therapies can make the greatest impact, based on well-defined mechanistic rationales, clear clinical outcomes and biomarkers, and rigorous preclinical data, agnostic of modality. We are currently developing four investigational therapies for potential impact across several diseases: avexitide in post-bariatric hypoglycemia, or PBH, AMX0035 in Wolfram syndrome, AMX0114 in amyotrophic lateral sclerosis, or ALS, and AMX0318 in PBH and other rare diseases. Our current pipeline is represented in the table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974590" cy="3838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74590" cy="3838575"/>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investigational asset is avexitide, a first-in-class glucagon-like peptide-1, or GLP-1, receptor antagonist. Avexitide has been evaluated as a treatment for PBH and congenital hyperinsulinism, or congenital HI, two indications characterized by hyperinsulinemic hypoglycemia. The U.S. Food and Drug Administration, or the FDA, has granted avexitide Breakthrough Therapy Designation for both PBH and congenital HI, Rare Pediatric Disease Designation for congenital HI, and Orphan Drug Designation for the treatment of hyperinsulinemic hypoglycemia. PBH is a chronic metabolic condition that is estimated to affect approximately 8% of people in the U.S. who have undergone the two most common types of bariatric surgery, sleeve gastrectomy and Roux-en-Y gastric bypass, or RYGB, (approximately 160,000 people in the U.S.). PBH can be associated with substantial disability, compromising safety, disrupting independent living, and affecting nutritional status and overall quality of life. Despite the substantial burden, there are currently no FDA-approved therapies for PBH. Avexitide is a GLP-1 receptor antagonist designed to competitively bind to the GLP-1 receptor on pancreatic islet beta cells and inhibit the exaggerated GLP-1-driven insulin response characteristic of PBH, reducing inappropriate insulin secretion and stabilizing blood glucose levels.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LUCIDITY (NCT06747468) was a 78-participant, multicenter, randomized, double-blind, placebo-controlled Phase 3 clinical trial which evaluated the efficacy and safety of avexitide in participants with PBH following RYGB surgery. The primary efficacy objective of LUCIDITY was to evaluate the FDA-agreed-upon primary outcome of reduction in the composite of Level 2 and Level 3 hypoglycemic events through Week 16. Safety and tolerability were also evaluated. In August 2026, we announced topline data from the LUCIDITY trial. See “</w:t>
      </w:r>
      <w:r>
        <w:rPr>
          <w:rFonts w:ascii="Times New Roman" w:hAnsi="Times New Roman"/>
          <w:i/>
          <w:sz w:val="20"/>
          <w:bdr w:val="single" w:sz="8" w:space="1" w:color="000000"/>
        </w:rPr>
        <w:t>Recent Developments</w:t>
      </w:r>
      <w:r>
        <w:rPr>
          <w:rFonts w:ascii="Times New Roman" w:hAnsi="Times New Roman"/>
          <w:sz w:val="20"/>
          <w:bdr w:val="single" w:sz="8" w:space="1" w:color="000000"/>
        </w:rPr>
        <w:t xml:space="preserve">” for additional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Avexitide was generally well-tolerated, with a favorable safety profile replicated across the five previous clinical trials in people with PBH. In addition, avexitide demonstrated a clear GLP-1 antagonist pharmacodynamic effect, including lowering insulin and raising the glucose nadir, in healthy volunteers.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2026, we announced the initiation of an Expanded Access Program (EAP) for the use of avexitide to treat U.S. adults with PBH following RYGB surgery. Initial eligible patients include individuals who have completed the pivotal Phase 3 LUCIDITY clinical trial and participants in a prior trial of avexitide in PBH following RYGB surgery.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AMX0035 is designed to slow or mitigate neurodegeneration by targeting endoplasmic reticulum, or ER stress, and mitochondrial dysfunction, two connected central pathways that lead to cell death and neurodegeneration. We are investigating AMX0035 in Wolfram syndrome, a neurodegenerative disease where ER stress and mitochondrial dysfunction are implicated. In June 2026, we presented longer-term Week 96 (n=9) data from HELIOS. At Week 96, measures of pancreatic function and glycemic control were stable or improved relative to baseline in most participants. Visual acuity and patient- and clinician-reported outcomes showed patterns consistent with disease stabilization with interpretation limited by the open-label, single-arm design and small sample size. The safety profile of AMX0035 in HELIOS data at Week 96 were generally consistent with prior safety data from prior studies of AMX0035. Nearly all adverse events, or AEs, were mild or moderate, and there were no serious adverse events, or SAEs, related to AMX0035 treatment. We continue to work with the FDA on a Phase 3 trial in Wolfram syndrome.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AMX0114 is an investigational antisense oligonucleotide targeting calpain-2, or </w:t>
      </w:r>
      <w:r>
        <w:rPr>
          <w:rFonts w:ascii="Times New Roman" w:hAnsi="Times New Roman"/>
          <w:i/>
          <w:sz w:val="20"/>
          <w:bdr w:val="single" w:sz="8" w:space="1" w:color="000000"/>
        </w:rPr>
        <w:t xml:space="preserve">CAPN2, </w:t>
      </w:r>
      <w:r>
        <w:rPr>
          <w:rFonts w:ascii="Times New Roman" w:hAnsi="Times New Roman"/>
          <w:sz w:val="20"/>
          <w:bdr w:val="single" w:sz="8" w:space="1" w:color="000000"/>
        </w:rPr>
        <w:t xml:space="preserve">with FDA Fast Track Designation for the potential treatment of ALS. The Phase 1 LUMINA clinical trial (NCT06665165) is a multinational, randomized, double-blind, placebo-controlled, multiple ascending dose trial evaluating the safety, tolerability, pharmacokinetics, and pharmacodynamics of AMX0114 in people living with ALS. LUMINA will also assess change from baseline in </w:t>
      </w:r>
      <w:r>
        <w:rPr>
          <w:rFonts w:ascii="Times New Roman" w:hAnsi="Times New Roman"/>
          <w:i/>
          <w:sz w:val="20"/>
          <w:bdr w:val="single" w:sz="8" w:space="1" w:color="000000"/>
        </w:rPr>
        <w:t>CAPN2</w:t>
      </w:r>
      <w:r>
        <w:rPr>
          <w:rFonts w:ascii="Times New Roman" w:hAnsi="Times New Roman"/>
          <w:sz w:val="20"/>
          <w:bdr w:val="single" w:sz="8" w:space="1" w:color="000000"/>
        </w:rPr>
        <w:t xml:space="preserve"> levels, neurofilament light, or NfL, levels, and other pharmacodynamic biomarkers of ALS. LUMINA is anticipated to enroll approximately 48 adult participants. In June 2026, we presented Cohort 1 biomarker data at the Annual Meeting of the European Network to Cure ALS. AMX0114 showed no drug-related SAEs and no serious nervous system disorder AEs in Cohort 1 (lowest dose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level 12.5 mg). These safety findings support continued evaluation of AMX0114 at higher dose levels in this multiple ascending dose trial. Biomarker levels, including spectrin breakdown product 145, NfL, and phosphorylated neurofilament heavy remained near baseline at Day 145. Cohorts 1 and Cohort 2 (25 mg) are fully enrolled, and Cohort 3 (50 mg) is fully enrolled.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AMX0318 is a novel GLP-1 receptor antagonist for long-acting administration selected as a development candidate for PBH and other rare diseases in January 2026. AMX0318 was selected as a development candidate after demonstrating robust preclinical and chemical properties, including a favorable pharmacokinetic profile that may support long-acting administration, a robust chemical stability profile, strong </w:t>
      </w:r>
      <w:r>
        <w:rPr>
          <w:rFonts w:ascii="Times New Roman" w:hAnsi="Times New Roman"/>
          <w:i/>
          <w:sz w:val="20"/>
          <w:bdr w:val="single" w:sz="8" w:space="1" w:color="000000"/>
        </w:rPr>
        <w:t>in vitro</w:t>
      </w:r>
      <w:r>
        <w:rPr>
          <w:rFonts w:ascii="Times New Roman" w:hAnsi="Times New Roman"/>
          <w:sz w:val="20"/>
          <w:bdr w:val="single" w:sz="8" w:space="1" w:color="000000"/>
        </w:rPr>
        <w:t xml:space="preserve"> potency, evidence of </w:t>
      </w:r>
      <w:r>
        <w:rPr>
          <w:rFonts w:ascii="Times New Roman" w:hAnsi="Times New Roman"/>
          <w:i/>
          <w:sz w:val="20"/>
          <w:bdr w:val="single" w:sz="8" w:space="1" w:color="000000"/>
        </w:rPr>
        <w:t>in vivo</w:t>
      </w:r>
      <w:r>
        <w:rPr>
          <w:rFonts w:ascii="Times New Roman" w:hAnsi="Times New Roman"/>
          <w:sz w:val="20"/>
          <w:bdr w:val="single" w:sz="8" w:space="1" w:color="000000"/>
        </w:rPr>
        <w:t xml:space="preserve"> activity and tolerability, and high solubility. AMX0318 was identified through a research collaboration with Gubra, a company specializing in peptide-based drug discovery and preclinical contract research services. Investigational new drug, or IND, enabling studies for AMX0318 are underway, with an IND submission targeted for 2027.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LUCIDITY Topline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18, 2026, we announced positive topline results from LUCIDITY, a 78-participant, multicenter, randomized, double-blind, placebo-controlled Phase 3 clinical trial evaluating the efficacy and safety of avexitide, an investigational, first-in-class GLP-1 receptor antagonist, in participants with PBH following RYGB surgery. Participants were randomized 3:2 to receive either 90 mg avexitide subcutaneously once daily or placebo. LUCIDITY met FDA-agreed-upon primary endpoint demonstrating a 55% reduction in the composite rate of Level 2 and Level 3 hypoglycemic events compared to placebo (p=0.000003). In addition, LUCIDITY met all secondary endpoints demonstrating consistent, highly statistically significant, and clinically meaningful reductions in Level 2 hypoglycemic events by self-monitoring of blood glucose, or SMBG, Level 2 hypoglycemic events by continuous glucose monitoring, or CGM, and Level 3 hypoglycemic events.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Avexitide was generally well-tolerated through the double-blind study period with a consistent and favorable safety profile replicated across all PBH clinical trials completed to date. The majority of adverse events in LUCIDITY were mild to moderate, and there were no serious adverse events related to avexitide treatment. The most common adverse events were diarrhea, injection site erythema, and injection site bruising. There were no changes in body weight observed in either the avexitide or placebo groups over the 16-week, double-blind period of the LUCIDITY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plan to submit a New Drug Application, or NDA, to the FDA by the end of 2026. The FDA previously granted avexitide Breakthrough Therapy Designation for PBH. LUCIDITY’s 32-week open label extension remains ongoing. The avexitide expanded access program also remains ongoing. We plan to present the data from LUCIDITY at an upcoming medical meeting.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Commercial Supply of Avexitide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currently in discussions with contract manufacturing organizations, or CMOs, to secure commercial supply of avexitide, if approved. We intend to enter into preliminary and/or definitive commercial supply agreements with such CMOs in the near term. There can be no assurance with respect to the timing of any such agreements, or that we will be able to negotiate such definitive agreements on terms acceptable to us, or at all. Any definitive agreements we enter into will supersede any preliminary agreements.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incorporated in the State of Delaware. Our principal executive offices are located at 55 Cambridge Parkway, Suite 6W, Cambridge, Massachusetts 02142, and our telephone number is (617) 682-0917.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maintain a website at www.amylyx.com where general information about us is available. The information contained on our website or social media accounts, or that can be accessed through our website or social media accounts, is not a part of this prospectus supplement and is not incorporated by reference into this prospectus supplement. You should not rely on any such information in deciding whether to purchase our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To the extent we take advantage of any reduced disclosure obligations, it may make the comparison of our financial statements with other public companies difficult or impossible. Because the market value of our common stock held by our non-affiliates was greater than $700.0 million as of June 30, 2026, we will no longer qualify as a smaller reporting company as of January 1, 2027, although we will continue to use the scaled disclosures permitted for a smaller reporting company through our annual report on Form 10-K for the fiscal year ending December 31, 2026 and plan to begin providing non-scaled larger company disclosure in our Form 10-Q for the period ending March 31,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rom180581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14,090,000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Option to purchase additional shares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have granted the underwriters an option to purchase up to an additional 2,113,500 shares of our common stock from us at the public offering price, less underwriting discounts and commissions, for a period of 30 days after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immediately after this offering</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125,458,283 shares, (or 127,571,783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estimate that our net proceeds from this offering will be approximately $471.7 million, or $542.5 million if the underwriters exercise their option to purchase additional shares in full, after deducting underwriting discounts,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We intend to use the net proceeds we receive from this offering, together with our existing cash, cash equivalents and marketable securities, to fund the potential commercial launch of avexitide in the United States, if approved, including securing additional manufacturing capacity to meet commercial supply requirements, and for research and development, working capital and other general corporate purposes. See “</w:t>
            </w:r>
            <w:r>
              <w:rPr>
                <w:i/>
              </w:rPr>
              <w:t>Use of Proceeds</w:t>
            </w:r>
            <w:r>
              <w:rPr/>
              <w:t xml:space="preserve">”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9" w:type="dxa"/>
            <w:tcBorders/>
          </w:tcPr>
          <w:p>
            <w:pPr>
              <w:pStyle w:val="TableContents"/>
              <w:bidi w:val="0"/>
              <w:spacing w:before="0" w:after="283"/>
              <w:jc w:val="left"/>
              <w:rPr/>
            </w:pPr>
            <w:r>
              <w:rPr/>
              <w:t>Your investment involves a high degree of risk. You should read the “</w:t>
            </w:r>
            <w:r>
              <w:rPr>
                <w:i/>
              </w:rPr>
              <w:t>Risk Factors</w:t>
            </w:r>
            <w:r>
              <w:rPr/>
              <w:t xml:space="preserve">” section of this prospectus supplement beginning on page S-7 and in our Quarterly Report on Form 10-Q for the quarter ended June 30, 2026, as well as the other documents incorporated by reference in this prospectus supplement and the accompanying prospectus for a discussion of factors to consider carefully before deciding to invest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Nasdaq Global Select Market symbol and trading</w:t>
            </w:r>
            <w:r>
              <w:rPr>
                <w:rFonts w:ascii="Times New Roman" w:hAnsi="Times New Roman"/>
                <w:sz w:val="20"/>
              </w:rPr>
              <w:t xml:space="preserve"> </w:t>
            </w:r>
          </w:p>
        </w:tc>
        <w:tc>
          <w:tcPr>
            <w:tcW w:w="6330" w:type="dxa"/>
            <w:tcBorders/>
          </w:tcPr>
          <w:p>
            <w:pPr>
              <w:pStyle w:val="TableContents"/>
              <w:bidi w:val="0"/>
              <w:spacing w:before="0" w:after="283"/>
              <w:jc w:val="left"/>
              <w:rPr/>
            </w:pPr>
            <w:r>
              <w:rPr/>
              <w:t>“</w:t>
            </w:r>
            <w:r>
              <w:rPr/>
              <w:t xml:space="preserve">AMLX”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immediately after this offering as shown above is based on 111,368,283 shares outstanding as of June 30, 2026. The number of shares outstanding as of June 30, 2026 as used throughout this prospectus supplement,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11,067,306 shares of common stock issuable upon the exercise of stock options outstanding as of June 30, 2026 under our 2022 Stock Option and Incentive Plan, or the 2022 Plan, at a weighted-average exercise price of $12.75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3,798,139 shares of common stock issuable upon the vesting and settlement of restricted stock units as of June 30, 2026 issued under our 2022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2,014,019 shares of common stock issuable upon the vesting and settlement of performance-based restricted stock units, or PSUs, as of June 30, 2026 issued under our 2022 Plan, including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431,769 shares of common stock underlying PSUs that vested subsequent to June 30, 2026 through the date hereof upon achievement of performance 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5,842,195 shares of our common stock that are available for future issuance as of June 30, 2026 under our 2022 Plan, as well as any future increases, including annual automatic evergreen increases, in the number of shares of common stock reserved for issuance thereunder in accordance with the terms of such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263,900 shares of common stock issuable upon the exercise of stock options outstanding as of June 30, 2026 under our 2023 Inducement Plan, or the Inducement Plan, at a weighted-average exercise price of $13.69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62,967 shares of common stock issuable upon the vesting and settlement of restricted stock units as of June 30, 2026 issued under our Inducement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360,167 shares of our common stock that are available for future issuance under our Inducement Plan, as of June 30,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3,732,336 shares of our common stock that are available for future issuance under our 2022 Employee Stock Purchase Plan, or the ESPP, as of June 30,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no exercise of outstanding stock options or settlement of unvested restricted stock units described above and no exercise by the underwriters of their option to purchase additional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180581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investing in our common stock, you should consider carefully the risks described below, together with the other information contained in this prospectus supplement or incorporated by reference in this prospectus supplement, including the risks and uncertainties discussed under “Risk Factors” in our Quarterly Report on Form 10-Q for the quarter ended June 30, 2026, which are incorporated by reference herein in their entirety. If any of the risks incorporated by reference herein or set forth below occur, our business, financial condition, results of operations and future growth prospects could be materially and adversely affected. In these circumstances, the market price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securities in this offering, you will incur immediate and substantial dilution in the book value of your shares. </w:t>
      </w:r>
    </w:p>
    <w:p>
      <w:pPr>
        <w:pStyle w:val="TextBody"/>
        <w:bidi w:val="0"/>
        <w:spacing w:before="120" w:after="0"/>
        <w:jc w:val="left"/>
        <w:rPr>
          <w:rFonts w:ascii="Times New Roman" w:hAnsi="Times New Roman"/>
          <w:sz w:val="20"/>
        </w:rPr>
      </w:pPr>
      <w:r>
        <w:rPr>
          <w:rFonts w:ascii="Times New Roman" w:hAnsi="Times New Roman"/>
          <w:sz w:val="20"/>
        </w:rPr>
        <w:t>The public offering price will be substantially higher than the pro forma net tangible book value per share of our common stock after this offering. Based on the public offering price of $35.50 per share of our common stock, purchasers of common stock in this offering will experience immediate dilution of $29.83 per share in net tangible book value of the common stock. In addition, you will experience additional dilution upon exercise of any of the outstanding options, or vesting and settlement of the restricted stock units, and other equity awards that may be granted under our equity incentive plans, and when we otherwise issue additional shares of our common stock. For a further description of the dilution that you will experience immediately after this offering, see the section of this prospectus supplement entitled “</w:t>
      </w:r>
      <w:r>
        <w:rPr>
          <w:rFonts w:ascii="Times New Roman" w:hAnsi="Times New Roman"/>
          <w:i/>
          <w:sz w:val="20"/>
        </w:rPr>
        <w:t>Dilution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our existing cash, cash equivalents and marketable securities and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Although we currently intend to use the net proceeds from this offering in the manner described in the section titled “</w:t>
      </w:r>
      <w:r>
        <w:rPr>
          <w:rFonts w:ascii="Times New Roman" w:hAnsi="Times New Roman"/>
          <w:i/>
          <w:sz w:val="20"/>
        </w:rPr>
        <w:t>Use of Proceeds</w:t>
      </w:r>
      <w:r>
        <w:rPr>
          <w:rFonts w:ascii="Times New Roman" w:hAnsi="Times New Roman"/>
          <w:sz w:val="20"/>
        </w:rPr>
        <w:t xml:space="preserve">” in this prospectus supplement, our management will have broad discretion in the application of the net proceeds from this offering and could spend the proceeds in ways that do not improve our results of operations or enhance the value of our common stock. You will not have the opportunity to influence our decisions on how to use the net proceeds from this offering. The failure by our management to apply these funds effectively could result in financial losses that could harm our business, cause the price of our common stock to decline and delay the development of our product candidates. Pending their use, we may invest the net proceeds from this offering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after this offering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or the perception that these sales might occur could depress the market price of our common stock and could impair our ability to raise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through the sale of additional equity securities. We are unable to predict the effect that sales may have on the prevailing market price of our common stock. In addition, the sale of substantial amounts of our common stock could adversely impact the price of our common stock. As of June 30, 2026, 111,368,283 shares of our common stock were outstanding. The sale, or the availability for sale, of a large number of shares of our common stock in the public market could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the shares of our common stock could be highly volatile, and purchasers of our common stock could incur substantial losses. </w:t>
      </w:r>
    </w:p>
    <w:p>
      <w:pPr>
        <w:pStyle w:val="TextBody"/>
        <w:bidi w:val="0"/>
        <w:spacing w:before="120" w:after="0"/>
        <w:jc w:val="left"/>
        <w:rPr>
          <w:rFonts w:ascii="Times New Roman" w:hAnsi="Times New Roman"/>
          <w:sz w:val="20"/>
        </w:rPr>
      </w:pPr>
      <w:r>
        <w:rPr>
          <w:rFonts w:ascii="Times New Roman" w:hAnsi="Times New Roman"/>
          <w:sz w:val="20"/>
        </w:rPr>
        <w:t>Since our common stock began trading on the Nasdaq Global Select Market, or Nasdaq, on January 7, 2022, our stock has traded at prices as low as $1.58 per share and as high as $41.93 per share. This volatility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w:t>
      </w:r>
      <w:r>
        <w:rPr>
          <w:rFonts w:ascii="Times New Roman" w:hAnsi="Times New Roman"/>
          <w:i/>
          <w:sz w:val="20"/>
        </w:rPr>
        <w:t>Risk Factors</w:t>
      </w:r>
      <w:r>
        <w:rPr>
          <w:rFonts w:ascii="Times New Roman" w:hAnsi="Times New Roman"/>
          <w:sz w:val="20"/>
        </w:rPr>
        <w:t xml:space="preserve">” in this prospectus supplement, the accompanying prospectus, our Quarterly Report on Form 10-Q for the quarter ended June 30, 2026 and the other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As a result, you may not be able to sell your shares of common stock at or above the price at which you purchase them. In addition, the stock market in general, Nasdaq and the stock of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sale of our common stock in this offering, and any future sales of our common stock, or the perception that such sales could occur, may depress our stock price and our ability to raise funds in new stock offerings.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Sales of shares of our common stock in this offering, or the perception that such sales could occur, may lower the market price of our common stock and may make it more difficult for us to sell equity securities or equity-related securities in the future at a time and price that our management deems acceptable,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180581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supplement and the accompanying prospectus, including the documents that we incorporate by reference herein and therein, contain forward-looking statements which are made pursuant to the safe harbor provisions of Section 27A of the Securities Act and Section 21E of the Securities Exchange Act of 1934, as amended, or the Exchange Act. All statements other than statements of historical facts contained in this prospectus supplement and the accompanying prospectus, including the documents that we incorporate by reference herein and therein, are forward-looking statements. In some cases, you can identify forward-looking statements by terminology such as “anticipate,” “believe,” “continue,” “could,” “estimate,” “expect,” “intend,” “may,” “plan,” “potential,” “predict,” “project,” “should,” “target,” “would” or the negative of these terms or other comparable terminology. These statements are not guarantees of future results or performance and involve substantial risks and uncertainties.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supplement and the accompanying prospectus, and in particular those factors referenced in the section “</w:t>
      </w:r>
      <w:r>
        <w:rPr>
          <w:rFonts w:ascii="Times New Roman" w:hAnsi="Times New Roman"/>
          <w:i/>
          <w:sz w:val="20"/>
        </w:rPr>
        <w:t>Risk Factors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regulatory approvals of avexitide in PBH, or any other indications, or AMX0035 in Wolfram syndrome, or any other indications, or any other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research and development activities, preclinical studies and clinical trials, including the Phase 3 clinical program for avexitide in PBH, known as the LUCIDITY trial, our Phase 1 clinical trial of AMX0114 for the treatment of ALS, known as the LUMINA trial, our preclinical research for AMX0318 in PBH and other rare diseases, as well as any other development efforts, preclinical studies and clinical trials for our current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and market our product candidates, if approved, and the timing of any commercialization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manufacturers and other service providers and their ability to perform adequately and to produce sufficient quantities of clinical and, if needed, commercial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size, opportunity, demand and growth potential for our current and any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build and maintain our own sales and marketing capabilities, or seek collaborative partners, to commercialize our current and any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the continued service of our key executives and to identify, hire and retain additional qualified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complete our ongoing or planned clinical trials of avexitide, AMX0035 and AMX0114, successfully complete our ongoing or planned IND-enabling studies of AMX0318, and to advance any other current or future product candidates into, and successfully complete,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recruit and enroll suitable patients in our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the accomplishment of various scientific, clinical, regulatory filings and approvals and other product development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avexitide, AMX0035, AMX0114, AMX0318 and any other current or future product candidates, if approved, by physicians, patients, third-party payors and others 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products,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evaluate, in-license and develop additional products or product candidates to complement our existing pipeline and our ability to successfully incorporate acquired assets into our existing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products,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any regulatory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potential future revenue, capital requirements, cash runway and future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of our quarterly and annual operating results and the related effects on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unfavorable macroeconomic conditions or market volatility resulting from global economic conditions or geopolitical developments, including fluctuating interest rates, inflation, changes in governmental agencies, government shutdowns, international tariffs, trade protection measures, economic sanctions and potential economic slowdowns or recessions, or similar events,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qualify as a “smaller reporting company” as defined by Rule 12b-2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related to our use of proceeds from this offering and our existing cash, cash equivalents and marketable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other statements about future events, including those listed under the section titled “</w:t>
            </w:r>
            <w:r>
              <w:rPr>
                <w:rFonts w:ascii="Times New Roman" w:hAnsi="Times New Roman"/>
                <w:i/>
                <w:sz w:val="20"/>
              </w:rPr>
              <w:t>Risk Factors</w:t>
            </w:r>
            <w:r>
              <w:rPr>
                <w:rFonts w:ascii="Times New Roman" w:hAnsi="Times New Roman"/>
                <w:sz w:val="20"/>
              </w:rPr>
              <w:t xml:space="preserve">” in this prospectus supplement and those listed in the documents incorporated by reference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We have included important factors in the cautionary statements included in this prospectus supplement and the accompanying prospectus and the documents we incorporate by reference herein and therein, particularly in the “</w:t>
      </w:r>
      <w:r>
        <w:rPr>
          <w:rFonts w:ascii="Times New Roman" w:hAnsi="Times New Roman"/>
          <w:i/>
          <w:sz w:val="20"/>
        </w:rPr>
        <w:t>Risk Factors</w:t>
      </w:r>
      <w:r>
        <w:rPr>
          <w:rFonts w:ascii="Times New Roman" w:hAnsi="Times New Roman"/>
          <w:sz w:val="20"/>
        </w:rPr>
        <w:t xml:space="preserve">” sections of these documents,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documents that we incorporate by reference herein and therein completely and with the understanding that our actual future results may be materially different from what we expect. The forward-looking statements in this prospectus supplement and the accompanying prospectus and the documents we incorporate by reference herein and therein represent our views as of the date of this prospectus supplement. We anticipate that subsequent events and developments will cause our views to change. We do not assume any obligation to update any forward-looking statements, whether as a result of new information, future events or otherwise, except as required by law. You should, therefore, not rely on these forward-looking statements as representing our views as of any date subsequent to the date of this prospectus supplement. 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80581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will be approximately $471.7 million, or approximately $542.5 million if the option to purchase additional shares is exercised in full by the underwriters,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we receive from this offering, together with our existing cash, cash equivalents and marketable securities, to fund the potential commercial launch of avexitide in the United States, if approved, including securing additional manufacturing capacity to meet commercial supply requirements, and for research and development,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w:t>
      </w:r>
    </w:p>
    <w:p>
      <w:pPr>
        <w:pStyle w:val="TextBody"/>
        <w:bidi w:val="0"/>
        <w:spacing w:before="240" w:after="0"/>
        <w:jc w:val="left"/>
        <w:rPr>
          <w:rFonts w:ascii="Times New Roman" w:hAnsi="Times New Roman"/>
          <w:sz w:val="20"/>
        </w:rPr>
      </w:pPr>
      <w:r>
        <w:rPr>
          <w:rFonts w:ascii="Times New Roman" w:hAnsi="Times New Roman"/>
          <w:sz w:val="20"/>
        </w:rPr>
        <w:t>The amounts and timing of our actual expenditures will depend on numerous factors, including the progress of our clinical trials and other development efforts and other factors described under “</w:t>
      </w:r>
      <w:r>
        <w:rPr>
          <w:rFonts w:ascii="Times New Roman" w:hAnsi="Times New Roman"/>
          <w:i/>
          <w:sz w:val="20"/>
        </w:rPr>
        <w:t>Risk Factors</w:t>
      </w:r>
      <w:r>
        <w:rPr>
          <w:rFonts w:ascii="Times New Roman" w:hAnsi="Times New Roman"/>
          <w:sz w:val="20"/>
        </w:rPr>
        <w:t xml:space="preserve">” in this prospectus supplement and the documents incorporated by reference herein, as well as the amount of cash used in our operations. As a result, our management will have broad discretion over the uses of the net proceeds from this offering, and investors will be relying on the judgment of our management regarding the application of the proceeds. Because the number and variability of factors that will determine our use of our existing cash, cash equivalents and marketable securities and the new proceeds from this offering, their ultimate use may vary from their currently intended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80581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nor paid cash dividends on our common stock. We currently intend to retain all of our future earnings, if any, to finance the growth and development of our business. We do not intend to pay cash dividends in respect of our common stock in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80581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public offering price per share you will pay in this offering and the as adjusted net tangible book value per share of our common stock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2026 was approximately $239.2 million, or approximately $2.15 per share of common stock. Net tangible book value per share represents the amount of total tangible assets (total assets less intangible assets) less total liabilities, divided by the number of shares of our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Net tangible book value dilution per share to investors participating in this offering represents the difference between the public offering price per share paid by purchasers of securities in this offering and the as adjusted net tangible book value per share of our common stock immediately after this offering. After giving effect to the sale of shares of our common stock in this offering at a public offering price of $35.50 per share, and after deducting underwriting discounts and commissions and estimated offering expenses payable by us, our as adjusted net tangible book value as of June 30, 2026 would have been approximately $710.8 million, or $5.67 per share. This represents an immediate increase in net tangible book value of $3.52 per share to existing stockholders and immediate dilution of $29.83 per share to investors purchasing our common stock in this offering. Dilution per share to investors purchasing shares of our common stock in this offering is determined by subtracting as adjusted net tangible book value per share after this offering from the public offering price per share paid by investors purchasing shares of our common stock in this offering. The following table illustrates this dilution on a per share basis: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437"/>
        <w:gridCol w:w="349"/>
        <w:gridCol w:w="144"/>
        <w:gridCol w:w="445"/>
        <w:gridCol w:w="60"/>
        <w:gridCol w:w="349"/>
        <w:gridCol w:w="144"/>
        <w:gridCol w:w="579"/>
        <w:gridCol w:w="65"/>
      </w:tblGrid>
      <w:tr>
        <w:trPr/>
        <w:tc>
          <w:tcPr>
            <w:tcW w:w="6437"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4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35.50</w:t>
            </w:r>
          </w:p>
        </w:tc>
        <w:tc>
          <w:tcPr>
            <w:tcW w:w="65" w:type="dxa"/>
            <w:tcBorders/>
            <w:shd w:fill="CCEEFF" w:val="clear"/>
            <w:vAlign w:val="bottom"/>
          </w:tcPr>
          <w:p>
            <w:pPr>
              <w:pStyle w:val="TableContents"/>
              <w:bidi w:val="0"/>
              <w:spacing w:before="0" w:after="283"/>
              <w:jc w:val="left"/>
              <w:rPr/>
            </w:pPr>
            <w:r>
              <w:rPr/>
              <w:t> </w:t>
            </w:r>
          </w:p>
        </w:tc>
      </w:tr>
      <w:tr>
        <w:trPr/>
        <w:tc>
          <w:tcPr>
            <w:tcW w:w="6437"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5"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4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this offering</w:t>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3.52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437"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437"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5.67</w:t>
            </w:r>
          </w:p>
        </w:tc>
        <w:tc>
          <w:tcPr>
            <w:tcW w:w="65" w:type="dxa"/>
            <w:tcBorders/>
            <w:vAlign w:val="bottom"/>
          </w:tcPr>
          <w:p>
            <w:pPr>
              <w:pStyle w:val="TableContents"/>
              <w:bidi w:val="0"/>
              <w:spacing w:before="0" w:after="283"/>
              <w:jc w:val="left"/>
              <w:rPr/>
            </w:pPr>
            <w:r>
              <w:rPr/>
              <w:t> </w:t>
            </w:r>
          </w:p>
        </w:tc>
      </w:tr>
      <w:tr>
        <w:trPr/>
        <w:tc>
          <w:tcPr>
            <w:tcW w:w="6437"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57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participating in this offering</w:t>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29.83</w:t>
            </w:r>
          </w:p>
        </w:tc>
        <w:tc>
          <w:tcPr>
            <w:tcW w:w="65" w:type="dxa"/>
            <w:tcBorders/>
            <w:shd w:fill="CCEEFF" w:val="clear"/>
            <w:vAlign w:val="bottom"/>
          </w:tcPr>
          <w:p>
            <w:pPr>
              <w:pStyle w:val="TableContents"/>
              <w:bidi w:val="0"/>
              <w:spacing w:before="0" w:after="283"/>
              <w:jc w:val="left"/>
              <w:rPr/>
            </w:pPr>
            <w:r>
              <w:rPr/>
              <w:t> </w:t>
            </w:r>
          </w:p>
        </w:tc>
      </w:tr>
      <w:tr>
        <w:trPr/>
        <w:tc>
          <w:tcPr>
            <w:tcW w:w="6437"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57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2,113,500 shares of common stock in full, the as adjusted net tangible book value after this offering would be $6.12 per share, representing an immediate increase in as adjusted net tangible book value of $3.97 per share to existing stockholders and immediate dilution in as adjusted net tangible book value of $29.38 per share to investors purchasing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above and in the foregoing table is based on 111,368,283 shares outstanding as of June 30, 2026. The information above and in the foregoing table excludes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11,067,306 shares of common stock issuable upon the exercise of stock options outstanding as of June 30, 2026 under our 2022 Plan, at a weighted-average exercise price of $12.75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3,798,139 shares of common stock issuable upon the vesting and settlement of restricted stock units as of June 30, 2026 issued under our 2022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2,014,019 shares of common stock issuable upon the vesting and settlement of the PSUs as of June 30, 2026 issued under our 2022 Plan, including 431,769 shares of common stock underlying PSUs that vested subsequent to June 30, 2026 through the date hereof upon achievement of performance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5,842,195 shares of our common stock that are available for future issuance as of June 30, 2026 under our 2022 Plan, as well as any future increases, including annual automatic evergreen increases, in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reserved for issuance thereunder in accordance with the terms of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263,900 shares of common stock issuable upon the exercise of stock options outstanding as of June 30, 2026 under our Inducement Plan, at a weighted-average exercise price of $13.69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62,967 shares of common stock issuable upon the vesting and settlement of restricted stock units as of June 30, 2026 issued under our Inducement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360,167 shares of our common stock that are available for future issuance under our Inducement Plan, as of June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3,732,336 shares of our common stock that are available for future issuance under our ESPP as of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as of June 30, 2026 have been or may be exercised, unvested restricted stock units have settled or other shares issued, investors purchasing our securities in this offering may experience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80581_9"/>
      <w:bookmarkEnd w:id="11"/>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assumptions and qualifications described herein, the following is a summary of certain U.S. federal income tax considerations of the purchase, ownership and disposition of shares of our common stock, referred to in this section as the “Shares.” All prospective holders should consult their tax advisors with respect to the U.S. federal, state, and local and non-U.S. tax consequences of the purchase, ownership and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U.S. Internal Revenue Code of 1986, as amended, or the Code, existing Treasury regulations promulgated thereunder, published administrative pronouncements and rulings of the U.S. Internal Revenue Service, or the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addresses only Shares that are held as capital assets within the meaning of Section 1221 of the Code (generally, property held for investment). This discussion does not address all the U.S. federal income tax consequences that may be relevant to particular holders in light of their individual circumstances, nor does it address any alternative minimum, Medicare contribution, estate or gift tax consequences, the special tax accounting rules under Section 451(b) of the Code, or any aspects of U.S. state or local or non-U.S. taxes. It does not address holders that are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any of the Shares as a position in a hedging transaction, “straddle,” “conversion transaction,”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any of the Shares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arrangements classified as partnerships for U.S. federal income tax purposes or other pass-through entities such as subchapter S corporations (or investors in such entities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or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actually or constructively,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former long-term residents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acquire the Shares through the exercise of an employee stock option or otherwise as compensation or through a tax-qualified retirement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holder is a partnership or other pass-through entity (including an entity or arrangement treated as a partnership or other pass-through entity for U.S. federal income tax purposes), the U.S. federal income tax treatment of a partner or beneficial owner will generally depend on the status of such partner or beneficial owner and the entity’s activities. Partnerships, partners and beneficial owners in partnerships or other pass-through entities that own the Shares should consult their tax advisors as to the particular U.S. federal income tax considerations applicable to the acquisition, ownership and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the Shares,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that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 entity treated as a corporation,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Treasury regulations to be treated as a United States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that is subject to U.S. federal income tax on its income regardless of its source.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“Non-U.S. Holder” means a beneficial owner, other than an entity treated as a partnership or other pass-through entity for U.S. federal income tax purposes, of the Shares that is for U.S. federal income tax purposes not a U.S. Holder. U.S. Holders and Non-U.S. Holders are collectively referred to herein as “holders.”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ARE URGED TO CONSULT THEIR TAX ADVISORS REGARDING THE PARTICULAR U.S. FEDERAL, STATE, AND LOCAL AND NON-U.S. TAX CONSEQUENCES TO THEM OF THE PURCHASE, OWNERSHIP AND DISPOSITION OF THE SHARES.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w:t>
      </w:r>
    </w:p>
    <w:p>
      <w:pPr>
        <w:pStyle w:val="TextBody"/>
        <w:bidi w:val="0"/>
        <w:spacing w:before="120" w:after="0"/>
        <w:jc w:val="left"/>
        <w:rPr>
          <w:rFonts w:ascii="Times New Roman" w:hAnsi="Times New Roman"/>
          <w:sz w:val="20"/>
        </w:rPr>
      </w:pPr>
      <w:r>
        <w:rPr>
          <w:rFonts w:ascii="Times New Roman" w:hAnsi="Times New Roman"/>
          <w:sz w:val="20"/>
        </w:rPr>
        <w:t>We do not anticipate declaring or paying any cash dividends to holders of our common stock in the foreseeable future. If we make distributions of cash or other property on the Shares (other than certain distributions of stock), as described below,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Shares, but not below zero. Any excess will be treated as capital gain and will be treated as described below under “—</w:t>
      </w:r>
      <w:r>
        <w:rPr>
          <w:rFonts w:ascii="Times New Roman" w:hAnsi="Times New Roman"/>
          <w:i/>
          <w:sz w:val="20"/>
        </w:rPr>
        <w:t>Sale or other taxable disposition of the Shares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Shares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the Shares, a U.S. Holder will generally recognize capital gain or loss equal to the difference between the amount of cash and the fair market value of any other property received upon the sale, exchange or other taxable disposition and such U.S. Holder’s adjusted tax basis in the Shares. This capital gain or loss will be long-term capital gain or loss if the U.S. Holder’s holding period in such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backup withholding and information reporting requirements may apply to distributions on the Shares and to the receipt of proceeds on the sale, exchange or other taxable disposition of the Shares. Backup withholding (currently at a rate of 24 percent) may apply if a U.S. Holder fails to furnish its taxpayer identification number, a U.S. Holder fails to certify under penalties of perjury that such taxpayer identification number is correct and that such U.S. Holder is not subject to backup withholding (generally on a properly completed and duly executed IRS Form W-9), the applicable withholding agent is notified by the IRS that the U.S. Holder previously failed to properly report payments of interest or dividends, or such U.S. Holder otherwise fails to comply with the applicable requirements of the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Certain U.S. Holders generally are not subject to backup withholding and information reporting requirements, provided that their exemptions from backup withholding and information reporting are properly established. Backup withholding is not an additional tax. Any amounts withheld from a payment to a U.S. Holder under the backup withholding rules generally will be allowed as a credit against such U.S. Holder’s U.S. federal income tax liability and may entitle such U.S. Holder to a refund, provided the required information is furnished to the IRS in a timely manner. U.S. Holders should consult their tax advisors regarding the application of backup withholding, the availability of an exemption from backup withholding, and the procedure for obtaining such an exemption, if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w:t>
      </w:r>
    </w:p>
    <w:p>
      <w:pPr>
        <w:pStyle w:val="TextBody"/>
        <w:bidi w:val="0"/>
        <w:spacing w:before="120" w:after="0"/>
        <w:jc w:val="left"/>
        <w:rPr>
          <w:rFonts w:ascii="Times New Roman" w:hAnsi="Times New Roman"/>
          <w:sz w:val="20"/>
        </w:rPr>
      </w:pPr>
      <w:r>
        <w:rPr>
          <w:rFonts w:ascii="Times New Roman" w:hAnsi="Times New Roman"/>
          <w:sz w:val="20"/>
        </w:rPr>
        <w:t>As mentioned above, we do not anticipate declaring or paying any cash dividends to holders of our common stock in the foreseeable future. However, distributions of cash or other property (other than certain distributions of stock) on the Shares, as described above under “</w:t>
      </w:r>
      <w:r>
        <w:rPr>
          <w:rFonts w:ascii="Times New Roman" w:hAnsi="Times New Roman"/>
          <w:i/>
          <w:sz w:val="20"/>
        </w:rPr>
        <w:t>Tax considerations applicable to U.S. Holders—Distributions on the Shares</w:t>
      </w:r>
      <w:r>
        <w:rPr>
          <w:rFonts w:ascii="Times New Roman" w:hAnsi="Times New Roman"/>
          <w:sz w:val="20"/>
        </w:rPr>
        <w:t>” will constitute dividends to the extent paid out of our current or accumulated earnings and profits, as determined for U.S. federal income tax purposes. Distributions in excess of our current and accumulated earnings and profits will constitute a return of capital and first be applied against and reduce a Non-U.S. Holder’s adjusted tax basis in its Shares, but not below zero. Any excess will be subject to the treatment as described below under “—</w:t>
      </w:r>
      <w:r>
        <w:rPr>
          <w:rFonts w:ascii="Times New Roman" w:hAnsi="Times New Roman"/>
          <w:i/>
          <w:sz w:val="20"/>
        </w:rPr>
        <w:t>Sale or other taxable disposition of the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that are not effectively connected with the Non-U.S. Holder’s conduct of a trade or business in the United States generally will be subject to withholding tax at a 30-percent rate or a reduced rate specified by an applicable income tax treaty. In order to obtain a reduced rate of withholding, the Non-U.S. Holder will be required to provide us or our paying agent with a properly executed applicable IRS Form W-8BEN or IRS Form W-8BEN-E (or appropriate successor form), as applicable, certifying under penalties of perjury that the Non-U.S. Holder is not a United States person and is eligible for the benefits under the applicable income tax treaty. These forms may need to be periodically updated. If a Non-U.S. Holder holds the Shares through a financial institution or other intermediary, the Non-U.S. Holder generally will be required to provide the appropriate documentation to the financial institution or other intermediary. A Non-U.S. Holder eligible for a reduced rate of U.S. withholding tax pursuant to an applicable income tax treaty who fails to timely provide an IRS Form W-8BEN or W-8BEN-E (or appropriate successor form), as applicable, may obtain a refund of any excess amounts withheld by timely filing an appropriate claim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in the United States (and, if required by an applicable income tax treaty, are attributable to a permanent establishment or fixed base maintained by the Non-U.S. Holder in the United States), the Non-U.S. Holder will generally be taxed on the dividends in the same manner as a U.S. Holder. In this case, the Non-U.S. Holder will be exempt from the withholding tax discussed in the preceding paragraph, although the Non-U.S. Holder will be required to provide a properly executed IRS Form W-8ECI (or appropriate successor form) in order to claim an exemption from withholding. Such effectively connected dividends, although not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federal withholding tax, are subject to U.S. federal income tax on a net income basis at the regular U.S. federal income tax rates generally applicable to a United States person. Dividends received by a corporate Non-U.S. Holder that are effectively connected with such Non-U.S. Holder’s conduct of a trade or business in the United States (and, if required by an applicable income tax treaty, attributable to a permanent establishment or fixed base maintained by the Non-U.S. Holder in the United States) may be subject to an additional branch profits tax at a 30-percent rate (or such lower rate as may be specified by an applicable income tax treaty). Non-U.S. Holders should consult their tax advisors with respect to other U.S. tax consequences of the acquisition, ownership and disposition of the Shares, including the possible imposition of the branch profits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Shares </w:t>
      </w:r>
    </w:p>
    <w:p>
      <w:pPr>
        <w:pStyle w:val="TextBody"/>
        <w:bidi w:val="0"/>
        <w:spacing w:before="120" w:after="0"/>
        <w:jc w:val="left"/>
        <w:rPr>
          <w:rFonts w:ascii="Times New Roman" w:hAnsi="Times New Roman"/>
          <w:sz w:val="20"/>
        </w:rPr>
      </w:pPr>
      <w:r>
        <w:rPr>
          <w:rFonts w:ascii="Times New Roman" w:hAnsi="Times New Roman"/>
          <w:sz w:val="20"/>
        </w:rPr>
        <w:t>Subject to the discussions below under “—</w:t>
      </w:r>
      <w:r>
        <w:rPr>
          <w:rFonts w:ascii="Times New Roman" w:hAnsi="Times New Roman"/>
          <w:i/>
          <w:sz w:val="20"/>
        </w:rPr>
        <w:t>Information reporting and backup withholding</w:t>
      </w:r>
      <w:r>
        <w:rPr>
          <w:rFonts w:ascii="Times New Roman" w:hAnsi="Times New Roman"/>
          <w:sz w:val="20"/>
        </w:rPr>
        <w:t>” and “—</w:t>
      </w:r>
      <w:r>
        <w:rPr>
          <w:rFonts w:ascii="Times New Roman" w:hAnsi="Times New Roman"/>
          <w:i/>
          <w:sz w:val="20"/>
        </w:rPr>
        <w:t>FATCA</w:t>
      </w:r>
      <w:r>
        <w:rPr>
          <w:rFonts w:ascii="Times New Roman" w:hAnsi="Times New Roman"/>
          <w:sz w:val="20"/>
        </w:rPr>
        <w:t xml:space="preserve">,” a Non-U.S. Holder generally will not be subject to U.S. federal income or withholding tax on gain realized on a sale, exchange or other taxable disposition of the Shares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as defined in the Code, at any time within the five-year period ending on the date of disposition or the Non-U.S. Holder’s holding period, whichever period is shorter, and the Non-U.S. Holder is not eligible for an exemption under an applicable income tax treaty.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we are not, and do not anticipate becoming, a United States real property holding corporation. Even if we are or have been a United States real property holding corporation during the specified testing period, as long as our common stock is regularly traded on an established securities market (such as the Nasdaq Global Market) at any time during the calendar year in which the disposition occurs, a Non-U.S. Holder will not be subject to U.S. federal income tax on the disposition of the Shares if the Non-U.S. Holder does not own or has not owned (actually or constructively) more than 5 percent of our common stock at any time during the shorter of the two periods mentioned above.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recognizes gain on a sale, exchange or other taxable disposition of the Shares that is effectively connected with the Non-U.S. Holder’s conduct of a trade or business in the United States (and if required by an applicable income tax treaty, is attributable to a permanent establishment or fixed base maintained by the Non-U.S. Holder in the United States), the Non-U.S. Holder will generally be subject to U.S. federal income tax at the regular U.S. federal income tax rates generally applicable to a United States person. If the Non-U.S. Holder is a corporation, the Non-U.S. Holder may also be subject to the branch profits tax at a 30-percent rate or such lower rate as may be specified by an applicable income tax treaty. Non-U.S. Holders should consult their tax advisors with respect to other U.S. tax consequences of the acquisition, ownership and disposition of the Shares, including the possible imposition of the branch profits tax.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30-percent rate (unless otherwise provided pursuant to an applicable income tax treaty) on gain recognized on a sale, exchange or other taxable disposition of the Shares, but such gain may be offset by certain U.S.-source capital losses (even though the Non-U.S. Holder is not considered a resident of the United States), provided that the non-U.S. holder has timely filed U.S. federal income tax returns with respect to such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distributions on the Shares. Copies of the information returns reporting those distributions and withholding may also be made available to the tax authorities in the country in which a Non-U.S. Holder is a resident under the provisions of an applicable income tax treaty or agreement. Unless a Non-U.S. Holder complies with certification procedures to establish that the Non-U.S. Holder is not a United States person, information returns may also be filed with the IRS in connection with the proceeds from a sale, exchange or other disposition of the Shares to or through the U.S. office (and, in certain cases, the foreign office) of a broker.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may be subject to backup withholding (currently at a rate of 24 percent) on payments on the Shares or on the proceeds from a sale, exchange or other disposition of the Shares unless the Non-U.S. Holder complies with certification procedures to establish that the Non-U.S. Holder is not a United States person or otherwise establishes an exemption. Compliance with the certification procedures required to claim a reduced rate of withholding under a treaty (including properly certifying non-U.S. status on an IRS Form W-8BEN, IRS Form W-8BEN-E or other appropriate version of IRS Form W-8 (or appropriate successor form)) generally will satisfy the certification requirements necessary to avoid backup withholding as well. Notwithstanding the foregoing, U.S. federal backup withholding may apply if the payor has actual knowledge, or reason to know, that a Non-U.S. 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from a payment to a Non-U.S. Holder under the backup withholding rules generally will be allowed as a credit against such Non-U.S. Holder’s U.S. federal income tax liability and may entitle such Non-U.S. Holder to a refund, provided the required information is furnished to the IRS in a timely manner. Non-U.S. Holders are urged to consult their tax advisors regarding the application of backup withholding and the availability of and procedure for obtaining an exemption from backup withholding in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Code commonly referred to as “FATCA” require withholding of 30 percent on distributions on the Shares, as well as payments of gross proceeds of dispositions of the Shares, to a “foreign financial institution”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However, the IRS has issued proposed Treasury regulations that eliminate FATCA withholding on payments of gross proceeds (but not on payments of dividends). Pursuant to the preamble to the proposed Treasury regulations, any applicable withholding agent may (but is not required to) rely on this proposed change to FATCA withholding until final Treasury regulations are issued or the proposed Treasury regulations are withdrawn. An intergovernmental agreement between the United States and an applicable foreign country may modify these requirements. If FATCA withholding is imposed, a beneficial owner that is not a foreign financial institution generally may obtain a refund of any amounts withheld by filing a U.S. federal income tax return (which may entail significant administrative burden). Non-U.S. Holders should consult their tax advisors regarding the effects of FATCA on their investments in the Shares.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U.S. FEDERAL INCOME TAX CONSIDERATIONS IS FOR GENERAL INFORMATION ONLY. IT IS NOT TAX ADVICE. PROSPECTIVE INVESTORS SHOULD CONSULT THEIR TAX ADVISORS REGARDING THE PARTICULAR U.S. FEDERAL, STATE AND LOCAL AND NON-U.S. TAX CONSEQUENCES OF PURCHASING, HOLDING AND DISPOSING OF THE SHARES,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180581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Morgan Stanley &amp; Co. LLC, Guggenheim Securities, LLC and LifeSci Capital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19"/>
        <w:gridCol w:w="283"/>
        <w:gridCol w:w="60"/>
        <w:gridCol w:w="1114"/>
        <w:gridCol w:w="63"/>
      </w:tblGrid>
      <w:tr>
        <w:trPr/>
        <w:tc>
          <w:tcPr>
            <w:tcW w:w="5419"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83"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5,424,650</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5,001,950</w:t>
            </w:r>
          </w:p>
        </w:tc>
        <w:tc>
          <w:tcPr>
            <w:tcW w:w="63" w:type="dxa"/>
            <w:tcBorders/>
            <w:vAlign w:val="bottom"/>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2,818,000</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845,400</w:t>
            </w:r>
          </w:p>
        </w:tc>
        <w:tc>
          <w:tcPr>
            <w:tcW w:w="63" w:type="dxa"/>
            <w:tcBorders/>
            <w:vAlign w:val="bottom"/>
          </w:tcPr>
          <w:p>
            <w:pPr>
              <w:pStyle w:val="TableContents"/>
              <w:bidi w:val="0"/>
              <w:spacing w:before="0" w:after="283"/>
              <w:jc w:val="left"/>
              <w:rPr/>
            </w:pPr>
            <w:r>
              <w:rPr/>
              <w:t> </w:t>
            </w:r>
          </w:p>
        </w:tc>
      </w:tr>
      <w:tr>
        <w:trPr/>
        <w:tc>
          <w:tcPr>
            <w:tcW w:w="5419"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14,090,000</w:t>
            </w:r>
          </w:p>
        </w:tc>
        <w:tc>
          <w:tcPr>
            <w:tcW w:w="63" w:type="dxa"/>
            <w:tcBorders/>
            <w:shd w:fill="CCEEFF" w:val="clear"/>
            <w:vAlign w:val="bottom"/>
          </w:tcPr>
          <w:p>
            <w:pPr>
              <w:pStyle w:val="TableContents"/>
              <w:bidi w:val="0"/>
              <w:spacing w:before="0" w:after="283"/>
              <w:jc w:val="left"/>
              <w:rPr/>
            </w:pPr>
            <w:r>
              <w:rPr/>
              <w:t> </w:t>
            </w:r>
          </w:p>
        </w:tc>
      </w:tr>
      <w:tr>
        <w:trPr/>
        <w:tc>
          <w:tcPr>
            <w:tcW w:w="5419"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Discounts and Commissions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shares to the public at the initial public offering price set forth on the cover page of this prospectus supplement and to dealers at that price less a concession not in excess of $1.1928 per share. After the initial offering of the shares, the public offering price, concession or any other term of this offering may be changed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initial public offering price, underwriting discounts and commissions and proceeds, before expenses, to us. The information assumes either no exercise or full exercise by the underwriters of their option to purchase additional shares of our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51"/>
        <w:gridCol w:w="296"/>
        <w:gridCol w:w="140"/>
        <w:gridCol w:w="744"/>
        <w:gridCol w:w="60"/>
        <w:gridCol w:w="296"/>
        <w:gridCol w:w="140"/>
        <w:gridCol w:w="1292"/>
        <w:gridCol w:w="60"/>
        <w:gridCol w:w="296"/>
        <w:gridCol w:w="140"/>
        <w:gridCol w:w="1292"/>
        <w:gridCol w:w="65"/>
      </w:tblGrid>
      <w:tr>
        <w:trPr/>
        <w:tc>
          <w:tcPr>
            <w:tcW w:w="3751"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3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Option</w:t>
            </w:r>
          </w:p>
        </w:tc>
        <w:tc>
          <w:tcPr>
            <w:tcW w:w="65"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Initial public offering price</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4" w:type="dxa"/>
            <w:tcBorders/>
            <w:shd w:fill="CCEEFF" w:val="clear"/>
            <w:vAlign w:val="bottom"/>
          </w:tcPr>
          <w:p>
            <w:pPr>
              <w:pStyle w:val="TableContents"/>
              <w:bidi w:val="0"/>
              <w:spacing w:before="0" w:after="283"/>
              <w:jc w:val="right"/>
              <w:rPr/>
            </w:pPr>
            <w:r>
              <w:rPr/>
              <w:t>35.500</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500,195,000</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575,224,250</w:t>
            </w:r>
          </w:p>
        </w:tc>
        <w:tc>
          <w:tcPr>
            <w:tcW w:w="65"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4" w:type="dxa"/>
            <w:tcBorders/>
            <w:vAlign w:val="bottom"/>
          </w:tcPr>
          <w:p>
            <w:pPr>
              <w:pStyle w:val="TableContents"/>
              <w:bidi w:val="0"/>
              <w:spacing w:before="0" w:after="283"/>
              <w:jc w:val="right"/>
              <w:rPr/>
            </w:pPr>
            <w:r>
              <w:rPr/>
              <w:t>1.988</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2" w:type="dxa"/>
            <w:tcBorders/>
            <w:vAlign w:val="bottom"/>
          </w:tcPr>
          <w:p>
            <w:pPr>
              <w:pStyle w:val="TableContents"/>
              <w:bidi w:val="0"/>
              <w:spacing w:before="0" w:after="283"/>
              <w:jc w:val="right"/>
              <w:rPr/>
            </w:pPr>
            <w:r>
              <w:rPr/>
              <w:t>28,010,920</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92" w:type="dxa"/>
            <w:tcBorders/>
            <w:vAlign w:val="bottom"/>
          </w:tcPr>
          <w:p>
            <w:pPr>
              <w:pStyle w:val="TableContents"/>
              <w:bidi w:val="0"/>
              <w:spacing w:before="0" w:after="283"/>
              <w:jc w:val="right"/>
              <w:rPr/>
            </w:pPr>
            <w:r>
              <w:rPr/>
              <w:t>32,212,558</w:t>
            </w:r>
          </w:p>
        </w:tc>
        <w:tc>
          <w:tcPr>
            <w:tcW w:w="65"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4" w:type="dxa"/>
            <w:tcBorders/>
            <w:shd w:fill="CCEEFF" w:val="clear"/>
            <w:vAlign w:val="bottom"/>
          </w:tcPr>
          <w:p>
            <w:pPr>
              <w:pStyle w:val="TableContents"/>
              <w:bidi w:val="0"/>
              <w:spacing w:before="0" w:after="283"/>
              <w:jc w:val="right"/>
              <w:rPr/>
            </w:pPr>
            <w:r>
              <w:rPr/>
              <w:t>33.512</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472,184,080</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543,011,692</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$500,000. We also have agreed to reimburse the underwriters for up to $25,000 for their FINRA counsel fee. In accordance with FINRA Rule 5110,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reimbursed fee is deemed underwriting compensation for this offering. The underwriters have also agreed to reimburse us for certain expenses in connection with the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an option to the underwriters, exercisable for 30 days after the date of this prospectus supplement, to purchase up to 2,113,500 additional shares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and our officers and our directors have agreed with the underwriters, subject to certain exceptions, not to dispose of or hedge any of their common stock or securities convertible into or exchangeable for shares of common stock during the period from the date of this prospectus supplement continuing through the date 45 days after the date of this prospectus supplement, except with the prior written consent of Leerink Partners LLC, Morgan Stanley &amp; Co. LLC and Guggenheim Securities, LLC.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Select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“AMLX.”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shares is completed, SEC rules may limit the underwriters and selling group members from bidding for and purchasing our common stock. However, the representatives may engage in transactions that stabilize the price of the common stock,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common stock or preventing or retarding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certain of the underwriters or securities dealers may distribute prospectuses by electronic means, such as e-mail.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shares may be offered to the public in that Relevant State at any time: </w:t>
      </w:r>
    </w:p>
    <w:p>
      <w:pPr>
        <w:pStyle w:val="TextBody"/>
        <w:bidi w:val="0"/>
        <w:spacing w:before="240" w:after="0"/>
        <w:jc w:val="left"/>
        <w:rPr>
          <w:rFonts w:ascii="Times New Roman" w:hAnsi="Times New Roman"/>
          <w:sz w:val="20"/>
        </w:rPr>
      </w:pPr>
      <w:r>
        <w:rPr>
          <w:rFonts w:ascii="Times New Roman" w:hAnsi="Times New Roman"/>
          <w:sz w:val="20"/>
        </w:rPr>
        <w:t xml:space="preserve">A. to any legal entity which is a qualified investor as defined under Article 2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no such offer of shares shall require us or any of the representatives to publish a prospectus pursuant to Article 3 of the Prospectus Regulation or supplement a prospectus pursuant to Article 23 of the Prospectus Regulation. For the purposes of this provision, the expression an “offer to the public” in relation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our common stock have been offered or will be offered pursuant to the offering to the public in the United Kingdom prior to the publication of a prospectus in relation to the shares of common stock which has been approved by the Financial Conduct Authority, except that the shares of our common stock may be offered to the public in the United Kingdom at any time: </w:t>
      </w:r>
    </w:p>
    <w:p>
      <w:pPr>
        <w:pStyle w:val="TextBody"/>
        <w:bidi w:val="0"/>
        <w:spacing w:before="240" w:after="0"/>
        <w:jc w:val="left"/>
        <w:rPr>
          <w:rFonts w:ascii="Times New Roman" w:hAnsi="Times New Roman"/>
          <w:sz w:val="20"/>
        </w:rPr>
      </w:pPr>
      <w:r>
        <w:rPr>
          <w:rFonts w:ascii="Times New Roman" w:hAnsi="Times New Roman"/>
          <w:sz w:val="20"/>
        </w:rPr>
        <w:t xml:space="preserve">A. to any legal entity which is a qualified investor as defined under Article 2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UK Prospectus Regulation),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Section 86 of the Financial Services and Markets Act 2000, or the FMSA,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us or any representative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180581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including the legality of the securities offered, will be passed upon for us by Goodwin Procter LLP, New York, New York. The underwriters are being represented in this offering by Wilmer Cutler Pickering Hale and Dorr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18058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Amylyx Pharmaceuticals, Inc. incorporated by reference in this prospectus supplement and the effectiveness of Amylyx Pharmaceuticals,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rom180581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Certain information in the registration statement has been omitted from this prospectus supplement in accordance with the rules of the SEC. We are subject to the information requirements of the Exchange Act and, in accordance therewith, file annual, quarterly and special reports, proxy statements and other information with the SEC. These documents also may be accessed through the SEC’s electronic data gathering, analysis and retrieval system, via electronic means, including the SEC’s home page on the Internet (www.sec.gov). You may also inspect the registration statement, this prospectus supplement and the accompanying prospectus on this website. </w:t>
      </w:r>
    </w:p>
    <w:p>
      <w:pPr>
        <w:pStyle w:val="TextBody"/>
        <w:bidi w:val="0"/>
        <w:spacing w:before="240" w:after="0"/>
        <w:jc w:val="left"/>
        <w:rPr>
          <w:rFonts w:ascii="Times New Roman" w:hAnsi="Times New Roman"/>
          <w:sz w:val="20"/>
        </w:rPr>
      </w:pPr>
      <w:r>
        <w:rPr>
          <w:rFonts w:ascii="Times New Roman" w:hAnsi="Times New Roman"/>
          <w:sz w:val="20"/>
        </w:rPr>
        <w:t xml:space="preserve">Our website is located at www.amylyx.com. Information contained on our website is not incorporated by reference into this prospectus supplement, and, except for the documents incorporated by reference as noted below, you should not consider any information on, or that can be accessed from, our website as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rom180581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which means that we can disclose important information to you by referring you to these documents. The information incorporated by reference is an important part of this prospectus supplement, and information that we file after the date hereof with the SEC will automatically update and supersede the information already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the documents listed below, which we have already filed with the SEC, and any future filings we make with the SEC under Sections 13(a), 13(c), 14 or 15(d) of the Exchange Act, except as to any portion of any future report or document that is not deemed filed under such provisions, after the date of this prospectus supplement and prior to the termination of this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Definitive Proxy Statement on Schedule 14A</w:t>
              </w:r>
            </w:hyperlink>
            <w:r>
              <w:rPr>
                <w:rFonts w:ascii="Times New Roman" w:hAnsi="Times New Roman"/>
                <w:sz w:val="20"/>
              </w:rPr>
              <w:t xml:space="preserve"> (other than information furnished rather than filed), filed with the SEC on April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6">
              <w:r>
                <w:rPr>
                  <w:rStyle w:val="InternetLink"/>
                  <w:rFonts w:ascii="Times New Roman" w:hAnsi="Times New Roman"/>
                  <w:sz w:val="20"/>
                </w:rPr>
                <w:t>May  7, 2026</w:t>
              </w:r>
            </w:hyperlink>
            <w:r>
              <w:rPr>
                <w:rFonts w:ascii="Times New Roman" w:hAnsi="Times New Roman"/>
                <w:sz w:val="20"/>
              </w:rPr>
              <w:t xml:space="preserve"> and </w:t>
            </w:r>
            <w:hyperlink r:id="rId7">
              <w:r>
                <w:rPr>
                  <w:rStyle w:val="InternetLink"/>
                  <w:rFonts w:ascii="Times New Roman" w:hAnsi="Times New Roman"/>
                  <w:sz w:val="20"/>
                </w:rPr>
                <w:t>August 6,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8">
              <w:r>
                <w:rPr>
                  <w:rStyle w:val="InternetLink"/>
                  <w:rFonts w:ascii="Times New Roman" w:hAnsi="Times New Roman"/>
                  <w:sz w:val="20"/>
                </w:rPr>
                <w:t>January  8, 2026</w:t>
              </w:r>
            </w:hyperlink>
            <w:r>
              <w:rPr>
                <w:rFonts w:ascii="Times New Roman" w:hAnsi="Times New Roman"/>
                <w:sz w:val="20"/>
              </w:rPr>
              <w:t xml:space="preserve">, </w:t>
            </w:r>
            <w:hyperlink r:id="rId9">
              <w:r>
                <w:rPr>
                  <w:rStyle w:val="InternetLink"/>
                  <w:rFonts w:ascii="Times New Roman" w:hAnsi="Times New Roman"/>
                  <w:sz w:val="20"/>
                </w:rPr>
                <w:t>June  4, 2026</w:t>
              </w:r>
            </w:hyperlink>
            <w:r>
              <w:rPr>
                <w:rFonts w:ascii="Times New Roman" w:hAnsi="Times New Roman"/>
                <w:sz w:val="20"/>
              </w:rPr>
              <w:t xml:space="preserve">, </w:t>
            </w:r>
            <w:hyperlink r:id="rId10">
              <w:r>
                <w:rPr>
                  <w:rStyle w:val="InternetLink"/>
                  <w:rFonts w:ascii="Times New Roman" w:hAnsi="Times New Roman"/>
                  <w:sz w:val="20"/>
                </w:rPr>
                <w:t>August  18, 2026</w:t>
              </w:r>
            </w:hyperlink>
            <w:r>
              <w:rPr>
                <w:rFonts w:ascii="Times New Roman" w:hAnsi="Times New Roman"/>
                <w:sz w:val="20"/>
              </w:rPr>
              <w:t xml:space="preserve"> and </w:t>
            </w:r>
            <w:hyperlink r:id="rId11">
              <w:r>
                <w:rPr>
                  <w:rStyle w:val="InternetLink"/>
                  <w:rFonts w:ascii="Times New Roman" w:hAnsi="Times New Roman"/>
                  <w:sz w:val="20"/>
                </w:rPr>
                <w:t>August 18,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filed with the SEC on January  4, 2022, as the description therein has been updated and superseded by the description of our common stock contained in 3 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2021, as filed with the SEC on March 31, 2022, including any amendments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specifically stated to the contrary, information that we furnish (and that is not deemed “filed” with the SEC) under Items 2.02 and 7.01 of any Current Reports on Form 8-K, including the related exhibits under Item 9.01, is not incorporated by reference into this prospectus supplement or the registration statement of which this prospectus supplement is a part. </w:t>
      </w:r>
    </w:p>
    <w:p>
      <w:pPr>
        <w:pStyle w:val="TextBody"/>
        <w:bidi w:val="0"/>
        <w:spacing w:before="240" w:after="0"/>
        <w:jc w:val="left"/>
        <w:rPr>
          <w:rFonts w:ascii="Times New Roman" w:hAnsi="Times New Roman"/>
          <w:sz w:val="20"/>
        </w:rPr>
      </w:pPr>
      <w:r>
        <w:rPr>
          <w:rFonts w:ascii="Times New Roman" w:hAnsi="Times New Roman"/>
          <w:sz w:val="20"/>
        </w:rPr>
        <w:t xml:space="preserve">Upon written or oral request, we will provide, without charge, to each person, including any beneficial owner, to whom a copy of this prospectus supplement is delivered, a copy of the documents incorporated by reference into this prospectus supplement but not delivered with the prospectus supplement. You may request, and we will provide you with, a copy of these filings, at no cost, by calling us at (617) 682-0917 or writing to us at Amylyx Pharmaceuticals, Inc., 55 Cambridge Parkway, Suite 6W, Cambridge, Massachusetts 02142. You may also access these documents, free of charge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supplement, or in a document all or a portion of which is incorporated by reference, shall be modified or superseded for purposes of this prospectus supplement to the extent that a statement contained in this prospectus supplement or any document incorporated by reference modifies or supersedes such statement. Any such statement so modified or superseded shall not, except as so modified or superseded, constitute a part of this prospectus supplement.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03550" cy="6324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3003550" cy="6324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any combination of the following securities: common stock, preferred stock, debt securities, warrants, and units, or collectively, the securities. We may offer and sell these securities at times, in amounts, at prices and on terms to be determined at or prior to the time of each offering. </w:t>
      </w:r>
    </w:p>
    <w:p>
      <w:pPr>
        <w:pStyle w:val="TextBody"/>
        <w:bidi w:val="0"/>
        <w:spacing w:before="240" w:after="0"/>
        <w:jc w:val="left"/>
        <w:rPr>
          <w:rFonts w:ascii="Times New Roman" w:hAnsi="Times New Roman"/>
          <w:sz w:val="20"/>
        </w:rPr>
      </w:pPr>
      <w:r>
        <w:rPr>
          <w:rFonts w:ascii="Times New Roman" w:hAnsi="Times New Roman"/>
          <w:sz w:val="20"/>
        </w:rPr>
        <w:t>This prospectus describes some of the general terms that may apply to these securities. The specific terms of these securities and information regarding the offering in which these securities will be offered will be provided in supplements to this prospectus. We may also authorize one or more free writing prospectuses to be provided to you in connection with each offering of the securities. The prospectus supplements may add, update or change the information contained in this prospectus. You should read this prospectus and any applicable prospectus supplement and any applicable free writing prospectus together with additional information described under the heading “</w:t>
      </w:r>
      <w:r>
        <w:rPr>
          <w:rFonts w:ascii="Times New Roman" w:hAnsi="Times New Roman"/>
          <w:i/>
          <w:sz w:val="20"/>
        </w:rPr>
        <w:t>Where You Can Find More Information</w:t>
      </w:r>
      <w:r>
        <w:rPr>
          <w:rFonts w:ascii="Times New Roman" w:hAnsi="Times New Roman"/>
          <w:sz w:val="20"/>
        </w:rPr>
        <w:t xml:space="preserve">” carefully before you invest. </w:t>
      </w:r>
    </w:p>
    <w:p>
      <w:pPr>
        <w:pStyle w:val="TextBody"/>
        <w:bidi w:val="0"/>
        <w:spacing w:before="240" w:after="0"/>
        <w:jc w:val="left"/>
        <w:rPr>
          <w:rFonts w:ascii="Times New Roman" w:hAnsi="Times New Roman"/>
          <w:sz w:val="20"/>
        </w:rPr>
      </w:pPr>
      <w:r>
        <w:rPr>
          <w:rFonts w:ascii="Times New Roman" w:hAnsi="Times New Roman"/>
          <w:sz w:val="20"/>
        </w:rPr>
        <w:t>We may offer and sell these securities to or through one or more underwriters, dealers or agents, or directly to one or more purchasers, on a continuous or delayed basis, on or off the Nasdaq Global Select Market, or Nasdaq.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w:t>
      </w:r>
      <w:r>
        <w:rPr>
          <w:rFonts w:ascii="Times New Roman" w:hAnsi="Times New Roman"/>
          <w:i/>
          <w:sz w:val="20"/>
        </w:rPr>
        <w:t>Plan of Distribution</w:t>
      </w:r>
      <w:r>
        <w:rPr>
          <w:rFonts w:ascii="Times New Roman" w:hAnsi="Times New Roman"/>
          <w:sz w:val="20"/>
        </w:rPr>
        <w:t xml:space="preserve">” section of this prospectus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under the symbol “AMLX.” On March 2, 2026, the closing sale price of our common stock on Nasdaq was $15.30 per share. </w:t>
      </w:r>
    </w:p>
    <w:p>
      <w:pPr>
        <w:pStyle w:val="TextBody"/>
        <w:bidi w:val="0"/>
        <w:spacing w:before="240" w:after="0"/>
        <w:jc w:val="left"/>
        <w:rPr>
          <w:rFonts w:ascii="Times New Roman" w:hAnsi="Times New Roman"/>
          <w:sz w:val="20"/>
        </w:rPr>
      </w:pPr>
      <w:r>
        <w:rPr>
          <w:rFonts w:ascii="Times New Roman" w:hAnsi="Times New Roman"/>
          <w:sz w:val="20"/>
        </w:rPr>
        <w:t>As of the date of this prospectus, we are a smaller reporting company as defined under Rule 405 of the Securities Act of 1933, as amended, or the Securities Act, and, as such, are subject to certain reduced public company reporting requirements. See “</w:t>
      </w:r>
      <w:r>
        <w:rPr>
          <w:rFonts w:ascii="Times New Roman" w:hAnsi="Times New Roman"/>
          <w:i/>
          <w:sz w:val="20"/>
        </w:rPr>
        <w:t>Prospectus Summary—Implications of Being a Smaller Reporting Company</w:t>
      </w:r>
      <w:r>
        <w:rPr>
          <w:rFonts w:ascii="Times New Roman" w:hAnsi="Times New Roman"/>
          <w:sz w:val="20"/>
        </w:rPr>
        <w:t xml:space="preserve">” on page 4 of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certain risks. See the “</w:t>
      </w:r>
      <w:hyperlink w:anchor="rom180581_6">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section on page 8 of this prospectus, in any applicable prospectus supplement and any related free writing prospectus, and in our Securities and Exchange Commission, or the SEC, filings that are incorporated by reference herein. You should read the entire prospectus carefully before you make your investment decision.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March 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2">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3">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6">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7">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8">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9">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0">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1">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2">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3">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4">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180581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S-3ASR that we have filed with the SEC as a “well-known seasoned issuer” as defined in Rule 405 under the Securities Act, utilizing a “shelf” registration process. Under this shelf registration process, we may sell the securities or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Registration of the securities covered by this prospectus does not mean that these securities will necessarily be offered or sold. As of the date of filing this prospectus, we have no specific plans for selling the securities registered 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This prospectus, any applicable prospectus supplement or free writing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w:t>
      </w:r>
      <w:r>
        <w:rPr>
          <w:rFonts w:ascii="Times New Roman" w:hAnsi="Times New Roman"/>
          <w:i/>
          <w:sz w:val="20"/>
        </w:rPr>
        <w:t>Risk Factors</w:t>
      </w:r>
      <w:r>
        <w:rPr>
          <w:rFonts w:ascii="Times New Roman" w:hAnsi="Times New Roman"/>
          <w:sz w:val="20"/>
        </w:rPr>
        <w:t xml:space="preserve">” contained in this prospectus, the applicable prospectus supplement and any applicable free writing prospectus, and under similar headings in other documents that are incorporated by reference into this prospectus. Accordingly, you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Amylyx and other trademarks or service marks of Amylyx appearing in this prospectus are the property of Amylyx. The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180581_2"/>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herein and therein,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prospectus, including the documents that we incorporate by reference herein, are forward-looking statements. In some cases, you can identify forward-looking statements by terminology such as “anticipate,” “believe,” “continue,” “could,” “estimate,” “expect,” “intend,” “may,” “plan,” “potential,” “predict,” “project,” “should,” “target,” “would” or the negative of these terms or other comparable terminology. These statements are not guarantees of future results or performance and involve substantial risks and uncertainties.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may be based on our management’s belief and assumptions and on information currently available to them.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regulatory approvals of avexitide in post-bariatric hypoglycemia, or PBH, or any other indications, or AMX0035 in Wolfram syndrome, or any other indications, or any other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research and development activities, preclinical studies and clinical trials, including the Phase 3 clinical program for avexitide in PBH, known as the LUCIDITY trial, our Phase 1 clinical trial of AMX0114 for the treatment of amyotrophic lateral sclerosis, or ALS, known as the LUMINA trial, our preclinical research for AMX0318 in PBH, as well as any other development efforts, preclinical studies and clinical trials for our current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and market our product candidates, if approved, and the timing of any commercialization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manufacturers and other service providers and their ability to perform adequately and to produce sufficient quantities of clinical and, if needed, commercial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size, opportunity, demand and growth potential for our current and any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build and maintain our own sales and marketing capabilities, or seek collaborative partners, to commercialize our current and any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the continued service of our key executives and to identify, hire and retain additional qualified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complete our ongoing or planned clinical trials of avexitide, AMX0035 and AMX0114, successfully complete our ongoing or planned investigational new drug, or IND, enabling studies of AMX0318, and to advance any other current or future product candidates into, and successfully complete, preclinical studies and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recruit and enroll suitable patients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the accomplishment of various scientific, clinical, regulatory filings and approvals and other product development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avexitide, AMX0035, AMX0114, AMX0318 and any other current or future product candidates, if approved, by physicians, patients, third-party payors and others 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products,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evaluate, in-license and develop additional products or product candidates to complement our existing pipeline and our ability to successfully incorporate acquired assets into our existing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products,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any regulatory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potential future revenue, capital requirements, cash runway and future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of our quarterly and annual operating results and the related effects on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unfavorable macroeconomic conditions or market volatility resulting from global economic conditions or geopolitical developments, including fluctuating interest rates, inflation, changes in governmental agencies, government shutdowns, international tariffs, trade protection measures, economic sanctions and potential economic slowdowns or recessions, or similar events, on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statements about future events, including those listed under the section titled “Risk Factors” in this prospectus and those listed in the documents incorporated by reference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Any forward-looking statements in this prospectus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section entitled “</w:t>
      </w:r>
      <w:r>
        <w:rPr>
          <w:rFonts w:ascii="Times New Roman" w:hAnsi="Times New Roman"/>
          <w:i/>
          <w:sz w:val="20"/>
        </w:rPr>
        <w:t>Risk Factors</w:t>
      </w:r>
      <w:r>
        <w:rPr>
          <w:rFonts w:ascii="Times New Roman" w:hAnsi="Times New Roman"/>
          <w:sz w:val="20"/>
        </w:rPr>
        <w:t xml:space="preserve">” and elsewhere in our filings with the SEC.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All of our forward-looking statements are as of the date of this prospectus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prospectus or included in our other public disclosures or our other periodic reports or other documents or filings filed with or furnished to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prospectus, even if such results, changes or circumstances make it clear that any forward-looking information will not be realized. Any public statements or disclosures by us that modify or impact any of the forward-looking statements contained in this prospectus will be deemed to modify or supersede such statements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prospectus.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180581_3"/>
      <w:bookmarkEnd w:id="20"/>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Amylyx Pharmaceuticals, Inc. (also referred to as Amylyx, we, our or us) is a clinical-stage pharmaceutical company with a mission to develop and advance novel therapies for communities with high unmet medical needs. We have preclinical and clinical development programs underway in endocrine conditions and neurodegenerative diseases. We are advancing a pipeline in which we have matched investigational therapies with diseases for which we believe these therapies can make the greatest impact, based on well-defined mechanistic rationales, clear clinical outcomes and biomarkers, and rigorous preclinical data, agnostic of modality. </w:t>
      </w:r>
    </w:p>
    <w:p>
      <w:pPr>
        <w:pStyle w:val="TextBody"/>
        <w:bidi w:val="0"/>
        <w:spacing w:before="240" w:after="0"/>
        <w:jc w:val="left"/>
        <w:rPr>
          <w:rFonts w:ascii="Times New Roman" w:hAnsi="Times New Roman"/>
          <w:sz w:val="20"/>
        </w:rPr>
      </w:pPr>
      <w:r>
        <w:rPr>
          <w:rFonts w:ascii="Times New Roman" w:hAnsi="Times New Roman"/>
          <w:sz w:val="20"/>
        </w:rPr>
        <w:t xml:space="preserve">Our lead investigational asset is avexitide, a first-in-class inhibitor of glucagon-like peptide-1, or GLP-1, receptor activity. Avexitide has been evaluated as a treatment for PBH and congenital hyperinsulinism, or Congenital HI, two indications characterized by hyperinsulinemic hypoglycemia. The U.S. Food and Drug Administration has granted avexitide Breakthrough Therapy Designation for both PBH and Congenital HI, Rare Pediatric Disease Designation in Congenital HI, and Orphan Drug Designation for the treatment of hyperinsulinemic hypoglycemia. </w:t>
      </w:r>
    </w:p>
    <w:p>
      <w:pPr>
        <w:pStyle w:val="TextBody"/>
        <w:bidi w:val="0"/>
        <w:spacing w:before="240" w:after="0"/>
        <w:jc w:val="left"/>
        <w:rPr>
          <w:rFonts w:ascii="Times New Roman" w:hAnsi="Times New Roman"/>
          <w:sz w:val="20"/>
        </w:rPr>
      </w:pPr>
      <w:r>
        <w:rPr>
          <w:rFonts w:ascii="Times New Roman" w:hAnsi="Times New Roman"/>
          <w:sz w:val="20"/>
        </w:rPr>
        <w:t xml:space="preserve">AMX0035 is designed to mitigate neurodegeneration by targeting endoplasmic reticulum, or ER, stress and mitochondrial dysfunction, two cellular processes central to neuronal cell death and neurodegeneration. We are investigating AMX0035 in Wolfram syndrome, a neurodegenerative disease where ER stress and mitochondrial dysfunction are implicated. </w:t>
      </w:r>
    </w:p>
    <w:p>
      <w:pPr>
        <w:pStyle w:val="TextBody"/>
        <w:bidi w:val="0"/>
        <w:spacing w:before="240" w:after="0"/>
        <w:jc w:val="left"/>
        <w:rPr>
          <w:rFonts w:ascii="Times New Roman" w:hAnsi="Times New Roman"/>
          <w:sz w:val="20"/>
        </w:rPr>
      </w:pPr>
      <w:r>
        <w:rPr>
          <w:rFonts w:ascii="Times New Roman" w:hAnsi="Times New Roman"/>
          <w:sz w:val="20"/>
        </w:rPr>
        <w:t xml:space="preserve">AMX0114 is an investigational antisense oligonucleotide, targeting calpain-2, or CAPN2. Decades of scientific literature and published data demonstrate that CAPN2, a protein involved in neurofilament biology, plays an essential role in axonal degeneration, which is a critical effector in the progression of various neurodegenerative diseases including ALS. ALS is a relentlessly progressive and fatal neurodegenerative disorder caused by motor neuron death in the brain and spinal cord. Motor neuron loss in ALS leads to deteriorating muscle function, the inability to move and speak, respiratory paralysis, and, eventually, death. ALS is defined as a rare disease, but it affects as many as 30,000 adults in the U.S. and 3,000 in Canada. The most common form of the disease is sporadic ALS, with more than 90% of people with ALS showing no clear family history. </w:t>
      </w:r>
    </w:p>
    <w:p>
      <w:pPr>
        <w:pStyle w:val="TextBody"/>
        <w:bidi w:val="0"/>
        <w:spacing w:before="240" w:after="0"/>
        <w:jc w:val="left"/>
        <w:rPr>
          <w:rFonts w:ascii="Times New Roman" w:hAnsi="Times New Roman"/>
          <w:sz w:val="20"/>
        </w:rPr>
      </w:pPr>
      <w:r>
        <w:rPr>
          <w:rFonts w:ascii="Times New Roman" w:hAnsi="Times New Roman"/>
          <w:sz w:val="20"/>
        </w:rPr>
        <w:t xml:space="preserve">AMX0318 is a long-acting GLP-1 receptor antagonist identified through a research collaboration with Gubra A/S, a company specializing in peptide-based drug discovery and preclinical contract research services. In January 2026, we announced the selection of AMX0318 as a development candidate for PBH and other rare diseases. AMX0318 has completed extensive preclinical evaluation, including stability, solubility, potency, in vivo pharmacokinetics and pharmacodynamics, and in vivo tolerability studies. We expect the program to advance into investigational new drug, or IND, enabling studies in 2026, with an IND submission targeted for 2027, pending successful completion of IND-enabling studies.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incorporated in the State of Delaware. Our principal executive offices are located at 55 Cambridge Parkway, Suite 6W, Cambridge, Massachusetts, 02142, and our telephone number is (617) 682-0917. We maintain a website at </w:t>
      </w:r>
      <w:r>
        <w:rPr>
          <w:rFonts w:ascii="Times New Roman" w:hAnsi="Times New Roman"/>
          <w:i/>
          <w:sz w:val="20"/>
        </w:rPr>
        <w:t>www.amylyx.com</w:t>
      </w:r>
      <w:r>
        <w:rPr>
          <w:rFonts w:ascii="Times New Roman" w:hAnsi="Times New Roman"/>
          <w:sz w:val="20"/>
        </w:rPr>
        <w:t xml:space="preserve"> where general information about us is available. The information contained on our website or social media accounts, or that can be accessed through our website or social media accounts, is not a part of this prospectus and is not incorporated by reference into this prospectus. You should not rely on any such information in deciding whether to purchase our securities. </w:t>
      </w:r>
    </w:p>
    <w:p>
      <w:pPr>
        <w:pStyle w:val="TextBody"/>
        <w:bidi w:val="0"/>
        <w:spacing w:before="360" w:after="0"/>
        <w:jc w:val="left"/>
        <w:rPr>
          <w:rFonts w:ascii="Times New Roman" w:hAnsi="Times New Roman"/>
          <w:b/>
          <w:sz w:val="20"/>
        </w:rPr>
      </w:pPr>
      <w:bookmarkStart w:id="21" w:name="rom180581_100"/>
      <w:bookmarkEnd w:id="21"/>
      <w:r>
        <w:rPr>
          <w:rFonts w:ascii="Times New Roman" w:hAnsi="Times New Roman"/>
          <w:b/>
          <w:sz w:val="20"/>
        </w:rPr>
        <w:t xml:space="preserve">Implications of Being a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To the extent we take advantage of any reduced disclosure obligations, it may make the comparison of our financial statements with other public companies difficult or impossible.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SECURITIES WE MAY OFFER </w:t>
      </w:r>
    </w:p>
    <w:p>
      <w:pPr>
        <w:pStyle w:val="TextBody"/>
        <w:bidi w:val="0"/>
        <w:spacing w:before="240" w:after="0"/>
        <w:jc w:val="left"/>
        <w:rPr>
          <w:rFonts w:ascii="Times New Roman" w:hAnsi="Times New Roman"/>
          <w:sz w:val="20"/>
        </w:rPr>
      </w:pPr>
      <w:r>
        <w:rPr>
          <w:rFonts w:ascii="Times New Roman" w:hAnsi="Times New Roman"/>
          <w:sz w:val="20"/>
        </w:rPr>
        <w:t>We may offer from time to time, in one or more offerings, any combination of the following securities in amounts, at prices and on terms to be determined by market conditions at the time of offering: common stock, preferred stock, debt securities, warrants, and units. This prospectus may not be used to offer or sell securities unless accompanied by an applicable prospectus supplement. This prospectus provides you with a general description of the securities we may offer, and the particular terms of any security will be described in the applicable prospectus supplement. Each time we sell securities described herein, we will provide prospective investors with a supplement to this prospectus that will contain specific information about the terms of that offering, including the specific amounts, prices and terms of the securities offered. The applicable prospectus supplement may add, update or change information contained in this prospectus or in documents incorporated by reference in this prospectus. You should read the prospectus supplement related to any securities being offered. We may sell the securities to or through underwriters, dealers or agents, directly to purchasers or through a combination of any of these methods of sale or as otherwise set forth below under “</w:t>
      </w:r>
      <w:r>
        <w:rPr>
          <w:rFonts w:ascii="Times New Roman" w:hAnsi="Times New Roman"/>
          <w:i/>
          <w:sz w:val="20"/>
        </w:rPr>
        <w:t>Plan of Distribution.</w:t>
      </w:r>
      <w:r>
        <w:rPr>
          <w:rFonts w:ascii="Times New Roman" w:hAnsi="Times New Roman"/>
          <w:sz w:val="20"/>
        </w:rPr>
        <w:t xml:space="preserve">”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180581_4"/>
      <w:bookmarkEnd w:id="2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periodic and current reports, proxy and information statements and other information about issuers, such as us, who file electronically with the SEC. The address of that website is </w:t>
      </w:r>
      <w:r>
        <w:rPr>
          <w:rFonts w:ascii="Times New Roman" w:hAnsi="Times New Roman"/>
          <w:i/>
          <w:sz w:val="20"/>
        </w:rPr>
        <w:t>www.sec.gov</w:t>
      </w:r>
      <w:r>
        <w:rPr>
          <w:rFonts w:ascii="Times New Roman" w:hAnsi="Times New Roman"/>
          <w:sz w:val="20"/>
        </w:rPr>
        <w:t xml:space="preserve">. Other information about us is also on our website at </w:t>
      </w:r>
      <w:r>
        <w:rPr>
          <w:rFonts w:ascii="Times New Roman" w:hAnsi="Times New Roman"/>
          <w:i/>
          <w:sz w:val="20"/>
        </w:rPr>
        <w:t>www.amylyx.com</w:t>
      </w:r>
      <w:r>
        <w:rPr>
          <w:rFonts w:ascii="Times New Roman" w:hAnsi="Times New Roman"/>
          <w:sz w:val="20"/>
        </w:rPr>
        <w:t xml:space="preserve">. However, except for the information specifically incorporated by reference herein as set forth below, the information on or accessible through the SEC’s website and the information on or accessible through our website do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180581_5"/>
      <w:bookmarkEnd w:id="23"/>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pPr>
            <w:r>
              <w:rPr>
                <w:rFonts w:ascii="Times New Roman" w:hAnsi="Times New Roman"/>
                <w:sz w:val="20"/>
              </w:rPr>
              <w:t xml:space="preserve">our </w:t>
            </w:r>
            <w:hyperlink r:id="rId16">
              <w:r>
                <w:rPr>
                  <w:rStyle w:val="InternetLink"/>
                  <w:rFonts w:ascii="Times New Roman" w:hAnsi="Times New Roman"/>
                  <w:sz w:val="20"/>
                </w:rPr>
                <w:t>Definitive Proxy Statement on Schedule 14A</w:t>
              </w:r>
            </w:hyperlink>
            <w:r>
              <w:rPr>
                <w:rFonts w:ascii="Times New Roman" w:hAnsi="Times New Roman"/>
                <w:sz w:val="20"/>
              </w:rPr>
              <w:t xml:space="preserve"> (other than information furnished rather than filed), filed with the SEC on April 24,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pPr>
            <w:r>
              <w:rPr>
                <w:rFonts w:ascii="Times New Roman" w:hAnsi="Times New Roman"/>
                <w:sz w:val="20"/>
              </w:rPr>
              <w:t xml:space="preserve">our Current Report on </w:t>
            </w:r>
            <w:hyperlink r:id="rId17">
              <w:r>
                <w:rPr>
                  <w:rStyle w:val="InternetLink"/>
                  <w:rFonts w:ascii="Times New Roman" w:hAnsi="Times New Roman"/>
                  <w:sz w:val="20"/>
                </w:rPr>
                <w:t>Form 8-K</w:t>
              </w:r>
            </w:hyperlink>
            <w:r>
              <w:rPr>
                <w:rFonts w:ascii="Times New Roman" w:hAnsi="Times New Roman"/>
                <w:sz w:val="20"/>
              </w:rPr>
              <w:t xml:space="preserve"> (other than information furnished rather than filed) filed with the SEC on January 8,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8">
              <w:r>
                <w:rPr>
                  <w:rStyle w:val="InternetLink"/>
                  <w:rFonts w:ascii="Times New Roman" w:hAnsi="Times New Roman"/>
                  <w:sz w:val="20"/>
                </w:rPr>
                <w:t>Form 8-A</w:t>
              </w:r>
            </w:hyperlink>
            <w:r>
              <w:rPr>
                <w:rFonts w:ascii="Times New Roman" w:hAnsi="Times New Roman"/>
                <w:sz w:val="20"/>
              </w:rPr>
              <w:t xml:space="preserve"> filed with the SEC under Section 12(b) of the Exchange Act on January 4, 2022, as the description therein has been updated and superseded by the description of our common stock contained in our Annual Report on </w:t>
            </w:r>
            <w:hyperlink r:id="rId19">
              <w:r>
                <w:rPr>
                  <w:rStyle w:val="InternetLink"/>
                  <w:rFonts w:ascii="Times New Roman" w:hAnsi="Times New Roman"/>
                  <w:sz w:val="20"/>
                </w:rPr>
                <w:t>Form 10-K</w:t>
              </w:r>
            </w:hyperlink>
            <w:r>
              <w:rPr>
                <w:rFonts w:ascii="Times New Roman" w:hAnsi="Times New Roman"/>
                <w:sz w:val="20"/>
              </w:rPr>
              <w:t xml:space="preserve"> for the fiscal year ended December 31, 2021, as filed with the SEC on March 31, 2022, including any amendments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specifically stated to the contrary, none of the information that we disclose under Items 2.02 or 7.01 of any Current Report on Form 8-K that we may from time to time furnish to the SEC or any other document or information deemed to have been furnished and not filed with the SEC will be incorporated by reference into, or otherwise included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(or part thereof) incorporated or considered to be incorporated by reference in this prospectus shall be considered to be modified or superseded for purposes of this prospectus to the extent that a statement contained in this prospectus or in any other subsequently filed document (or part thereof) that is or is considered to be incorporated by reference in this prospectus modifies or supersedes that statement. The modifying or superseding statement need not state that it has modified or superseded a prior statement or include any other information set forth in the document that it modifies or supersedes. Any statement so modified or superseded shall not be considered, except as so modified or superseded, to constitute any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and we will provide you with a copy of these filings at no cost by calling us at (617) 682-0917 or writing to us at Amylyx Pharmaceuticals, Inc., 55 Cambridge Parkway, Suite 6W, Cambridge, Massachusetts 02142. You may also access these documents free of charge on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180581_6"/>
      <w:bookmarkEnd w:id="2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 decision to invest in our securities, you should carefully consider the risks described under “Risk Factors” in the applicable prospectus supplement and in our most recent Annual Report on Form 10-K, and any updates to those risk factors in our subsequent Quarterly Reports on Form 10-Q and Current Reports on Form 8-K, together with all of the other information appearing or incorporated by reference herein,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 If any of these risks or uncertainties actually occurs, they could materially and adversely affect our business, financial condition, results of operations, cash flows or prospects, which in turn could materially and adversely affect the price of our securities and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180581_7"/>
      <w:bookmarkEnd w:id="2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any sale of our securities offered by us under this prospectus. Unless otherwise indicated in a prospectus supplement, the net proceeds from our sale of securities will be used for general corporate purposes, including working capital, expenses related to research, clinical development and commercial efforts and general and administrative expenses, acquisitions and other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Because we may issue securities from time to time in one or more offerings pursuant to this prospectus, the net proceeds from the sale of securities may be received and used by us at different times. Pending the use of such proceeds, we may invest the net proceeds in short term, interest-bearing securities or other investments in accordance with our investment policy, or hold such proceeds as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TAXATION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contain information about any material U.S. federal income tax considerations relating to the securities covered by such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180581_8"/>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of the terms of our capital stock is not meant to be complete and is qualified by reference to the relevant provisions of the Delaware General Corporation Law, or the DGCL, and our Fourth Amended and Restated Certificate of Incorporation, or our certificate of incorporation, and our Second Amended and Restated Bylaws, or our bylaws. For a complete description of the matters set forth in this section titled “Description of Capital Stock,” you should refer to the provisions of our Certificate of Incorporation and Bylaws. See “Where You Can Find More Information” above.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300,000,000 shares of common stock, par value $0.0001 per share, and 10,000,000 shares of preferred stock, par value $0.0001 per share, all of which shares of preferred stock are undesignated.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The holders of our common stock are entitled to one vote for each share held on all matters submitted to a vote of the stockholders. The holders of our common stock do not have any cumulative voting rights. </w:t>
      </w:r>
    </w:p>
    <w:p>
      <w:pPr>
        <w:pStyle w:val="TextBody"/>
        <w:bidi w:val="0"/>
        <w:spacing w:before="240" w:after="0"/>
        <w:jc w:val="left"/>
        <w:rPr>
          <w:rFonts w:ascii="Times New Roman" w:hAnsi="Times New Roman"/>
          <w:sz w:val="20"/>
        </w:rPr>
      </w:pPr>
      <w:r>
        <w:rPr>
          <w:rFonts w:ascii="Times New Roman" w:hAnsi="Times New Roman"/>
          <w:b/>
          <w:i/>
          <w:sz w:val="20"/>
        </w:rPr>
        <w:t>Dividend Rights</w:t>
      </w:r>
      <w:r>
        <w:rPr>
          <w:rFonts w:ascii="Times New Roman" w:hAnsi="Times New Roman"/>
          <w:sz w:val="20"/>
        </w:rPr>
        <w:t xml:space="preserve">. Holders of our common stock are entitled to receive ratably any dividends declared by our board of directors out of funds legally available for that purpose, subject to any preferential dividend rights of any outstanding preferred stock. </w:t>
      </w:r>
    </w:p>
    <w:p>
      <w:pPr>
        <w:pStyle w:val="TextBody"/>
        <w:bidi w:val="0"/>
        <w:spacing w:before="240" w:after="0"/>
        <w:jc w:val="left"/>
        <w:rPr>
          <w:rFonts w:ascii="Times New Roman" w:hAnsi="Times New Roman"/>
          <w:sz w:val="20"/>
        </w:rPr>
      </w:pPr>
      <w:r>
        <w:rPr>
          <w:rFonts w:ascii="Times New Roman" w:hAnsi="Times New Roman"/>
          <w:b/>
          <w:i/>
          <w:sz w:val="20"/>
        </w:rPr>
        <w:t>Liquidation Rights</w:t>
      </w:r>
      <w:r>
        <w:rPr>
          <w:rFonts w:ascii="Times New Roman" w:hAnsi="Times New Roman"/>
          <w:sz w:val="20"/>
        </w:rPr>
        <w:t xml:space="preserve">. In the event of our liquidation, dissolution or winding up, holders of our common stock are entitled to share ratably in all assets remaining after payment of all debts and other liabilities and any liquidation preference of any outstanding preferred stock. </w:t>
      </w:r>
    </w:p>
    <w:p>
      <w:pPr>
        <w:pStyle w:val="TextBody"/>
        <w:bidi w:val="0"/>
        <w:spacing w:before="240" w:after="0"/>
        <w:jc w:val="left"/>
        <w:rPr>
          <w:rFonts w:ascii="Times New Roman" w:hAnsi="Times New Roman"/>
          <w:sz w:val="20"/>
        </w:rPr>
      </w:pPr>
      <w:r>
        <w:rPr>
          <w:rFonts w:ascii="Times New Roman" w:hAnsi="Times New Roman"/>
          <w:b/>
          <w:i/>
          <w:sz w:val="20"/>
        </w:rPr>
        <w:t>Other Rights</w:t>
      </w:r>
      <w:r>
        <w:rPr>
          <w:rFonts w:ascii="Times New Roman" w:hAnsi="Times New Roman"/>
          <w:sz w:val="20"/>
        </w:rPr>
        <w:t xml:space="preserve">. Holders of our common stock have no preemptive rights, conversion rights or other subscription rights or redemption or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When we offer to sell a particular series of preferred stock, we will describe the specific terms of the securities in a supplement to this prospectus. The preferred stock will be issued under a certificate of designations relating to each series of preferred stock and is also subject to our certificate of incorporation. The transfer agent for each series of preferred stock will be described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holders of our common stock are entitled to rights with respect to the registration of these securities under the Securities Act. These rights are provided under the terms of an amended and restated investors’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or the investors’ rights agreement, between us and certain holders of our common stock. The investors’ rights agreement includes demand registration rights, short-form registration rights and piggyback registration rights. All fees, costs and expenses of underwritten registrations under the investors’ rights agreement will be borne by us and all selling expenses, including underwriting discounts and selling commissions, will be borne by the holders of the shares being registered. </w:t>
      </w:r>
    </w:p>
    <w:p>
      <w:pPr>
        <w:pStyle w:val="TextBody"/>
        <w:bidi w:val="0"/>
        <w:spacing w:before="240" w:after="0"/>
        <w:jc w:val="left"/>
        <w:rPr>
          <w:rFonts w:ascii="Times New Roman" w:hAnsi="Times New Roman"/>
          <w:sz w:val="20"/>
        </w:rPr>
      </w:pPr>
      <w:r>
        <w:rPr>
          <w:rFonts w:ascii="Times New Roman" w:hAnsi="Times New Roman"/>
          <w:sz w:val="20"/>
        </w:rPr>
        <w:t xml:space="preserve">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 </w:t>
      </w:r>
    </w:p>
    <w:p>
      <w:pPr>
        <w:pStyle w:val="TextBody"/>
        <w:bidi w:val="0"/>
        <w:spacing w:before="240" w:after="0"/>
        <w:jc w:val="left"/>
        <w:rPr>
          <w:rFonts w:ascii="Times New Roman" w:hAnsi="Times New Roman"/>
          <w:sz w:val="20"/>
        </w:rPr>
      </w:pPr>
      <w:r>
        <w:rPr>
          <w:rFonts w:ascii="Times New Roman" w:hAnsi="Times New Roman"/>
          <w:sz w:val="20"/>
        </w:rPr>
        <w:t xml:space="preserve">The demand registration rights and short form registration rights granted under the investors’ rights agreement will terminate on the earlier of (i) a deemed liquidation event, as defined in our certificate of incorporation, (ii) January 11, 2027, the fifth anniversary of the completion of our initial public offering and (iii) such time as SEC Rule 144 under the Securities Act or another similar exemption under the Securities Act is available for the sale of all of such holder’s shares without limitation during a three-month period without registration.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Certificate of Incorporation and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66-2/3% or more of the shares then entitled to vote at an election of directors. Further,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66-2/3% of the outstanding shares entitled to vote on the amendment, and not less than 66-2/3%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66-2/3%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Jurisdiction for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Although we believe this provision benefits us by providing increased consistency in the application of Delaware law in the types of lawsuits to which it applies, the provision may have the effect of discouraging lawsuits against our directors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officers. The enforceability of similar exclusive forum provisions in other companies’ bylaws has been challenged in legal proceedings, and it is possible that a court could rule that this provision in our bylaws is inapplicable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the United States Federal District Courts will be the exclusive forum for resolving any complaint asserting a cause of action arising under the Securities Act or the Exchange Act, unless we consent in writing to an alternative forum, is intended to allow for the consolidation of multi-jurisdiction litigation, avoid state court forum shopping, provide efficiencies in managing the procedural aspects of securities litigation and reduce the risk that the outcome of cases in multiple jurisdictions could be inconsistent. Although our bylaws contain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any sale, transfer, lease, pledge or other disposition involving the interested stockholder of 10% or more of the assets of the corporation; 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trading symbol “AMLX.”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180581_9"/>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i/>
          <w:sz w:val="20"/>
        </w:rPr>
      </w:pPr>
      <w:r>
        <w:rPr>
          <w:rFonts w:ascii="Times New Roman" w:hAnsi="Times New Roman"/>
          <w:i/>
          <w:sz w:val="20"/>
        </w:rPr>
        <w:t>The following description, together with the additional information that we include in any applicable prospectus supplements, summarizes the material terms and provisions of the debt securities that we may offer under this prospectus. While the terms we have summarized below will apply generally to any debt securities that we may offer under this prospectus, we will describe the particular terms of any debt securities in more detail in the applicable prospectus supplement. The terms of any debt securities and related guarantees offered under a prospectus supplement may differ from the terms described below.</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under an indenture, or the senior debt indenture, to be entered into between us and the trustee named in the senior debt indenture. We may issue subordinated debt securities under an indenture, or the subordinated debt indenture, and together with the senior debt indenture, the indentures, and each individually, an indenture, to be entered into between us and the trustee named in the subordinated debt indenture. </w:t>
      </w:r>
    </w:p>
    <w:p>
      <w:pPr>
        <w:pStyle w:val="TextBody"/>
        <w:bidi w:val="0"/>
        <w:spacing w:before="240" w:after="0"/>
        <w:jc w:val="left"/>
        <w:rPr>
          <w:rFonts w:ascii="Times New Roman" w:hAnsi="Times New Roman"/>
          <w:sz w:val="20"/>
        </w:rPr>
      </w:pPr>
      <w:r>
        <w:rPr>
          <w:rFonts w:ascii="Times New Roman" w:hAnsi="Times New Roman"/>
          <w:sz w:val="20"/>
        </w:rPr>
        <w:t>We have summarized certain terms and provisions of the indentures. The summary is not complete. Forms of the indentures have been filed as exhibits to the registration statement of which this prospectus forms a part, which we have filed with the SEC. You should read the indentures for the provisions that may be important to you. The indentures are subject to and governed by the Trust Indenture Act of 1939, as amended, or the Trust Indenture Act. The senior debt indenture and the subordinated debt indenture are substantially identical, except for the provisions relating to subordination and covenants. See “—</w:t>
      </w:r>
      <w:r>
        <w:rPr>
          <w:rFonts w:ascii="Times New Roman" w:hAnsi="Times New Roman"/>
          <w:i/>
          <w:sz w:val="20"/>
        </w:rPr>
        <w:t>Subordinated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up to an aggregate principal amount as we may authorize from time to time. The prospectus supplement will describe the terms of any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classification as senior 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of the specific series of debt securities relative to other outstanding indebtedness, including subsidiaries’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subordinated, the aggregate amount of outstanding indebtedness, as of a recent date, that is senior to the subordinated securities, and any limitation on the issuance of additional senior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and authorized denominations;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if any, and the method for calculating the interest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payment dates and the record dates for the interest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mandatory or optional redemption terms or prepayment, conversion, sinking fund or exchangeability or convertibility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we will pay principal and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$1,000 or multiples of $1,000, the denominations the debt securities will be issued 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global securities or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provisions, if any, relating to the defeasance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if other than the currency of the United States, in which principal and interest will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United States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premium, if any, will be paid;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interest and the maximum length of this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on a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specific terms, including any additional events of default or covenants.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Senior Debt </w:t>
      </w:r>
    </w:p>
    <w:p>
      <w:pPr>
        <w:pStyle w:val="TextBody"/>
        <w:bidi w:val="0"/>
        <w:spacing w:before="120" w:after="0"/>
        <w:jc w:val="left"/>
        <w:rPr>
          <w:rFonts w:ascii="Times New Roman" w:hAnsi="Times New Roman"/>
          <w:sz w:val="20"/>
        </w:rPr>
      </w:pPr>
      <w:r>
        <w:rPr>
          <w:rFonts w:ascii="Times New Roman" w:hAnsi="Times New Roman"/>
          <w:sz w:val="20"/>
        </w:rPr>
        <w:t xml:space="preserve">We will issue under the senior debt indenture the debt securities that will constitute part of our senior debt. These senior debt securities will rank equally and </w:t>
      </w:r>
      <w:r>
        <w:rPr>
          <w:rFonts w:ascii="Times New Roman" w:hAnsi="Times New Roman"/>
          <w:i/>
          <w:sz w:val="20"/>
        </w:rPr>
        <w:t>pari passu</w:t>
      </w:r>
      <w:r>
        <w:rPr>
          <w:rFonts w:ascii="Times New Roman" w:hAnsi="Times New Roman"/>
          <w:sz w:val="20"/>
        </w:rPr>
        <w:t xml:space="preserve"> with all of our other unsecured and unsubordinated debt.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Subordinated Debt </w:t>
      </w:r>
    </w:p>
    <w:p>
      <w:pPr>
        <w:pStyle w:val="TextBody"/>
        <w:bidi w:val="0"/>
        <w:spacing w:before="120" w:after="0"/>
        <w:jc w:val="left"/>
        <w:rPr>
          <w:rFonts w:ascii="Times New Roman" w:hAnsi="Times New Roman"/>
          <w:sz w:val="20"/>
        </w:rPr>
      </w:pPr>
      <w:r>
        <w:rPr>
          <w:rFonts w:ascii="Times New Roman" w:hAnsi="Times New Roman"/>
          <w:sz w:val="20"/>
        </w:rPr>
        <w:t>We will issue under the subordinated debt indenture the debt securities that will constitute part of our subordinated debt. Payment by us of the principal of, premium, if any, and interest on any series of subordinated debt securities issued under the subordinated debt indenture will be subordinated to the extent set forth in an indenture supplemental to the subordinated indenture relating to such series. The specific subordination terms will be set forth in a supplemental indenture to the subordinated debt indenture and described in the prospectus supplement for the relevant series of debt.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180581_10"/>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together with the additional information that we include in any applicable prospectus supplements, summarizes the material terms and provisions of the warrants that we may offer under this prospectus. While the terms we have summarized below will apply generally to any warrants that we may offer under this prospectus, we will describe the particular terms of any warrants in more detail in the applicable prospectus supplement. The terms of any warrants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following terms of any warrants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price of such warrants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purchasable upon exercise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and the currency or currencies in which the securities purchasable upon exercise of such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such warrants are issued and the number of such warrants issued with each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any material United States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180581_11"/>
      <w:bookmarkEnd w:id="29"/>
      <w:r>
        <w:rPr>
          <w:rFonts w:ascii="Times New Roman" w:hAnsi="Times New Roman"/>
          <w:b/>
          <w:sz w:val="20"/>
        </w:rPr>
        <w:t xml:space="preserve">DESCRIPTION OF UNITS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As specified in the applicable prospectus supplement, we may issue units consisting of one or more warrants, debt securities, shares of preferred stock, shares of common stock or any combination of such securities. The applicable supplement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the warrants, debt securities, preferred stock and common stock comprising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governing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provisions for the payment, settlement, transfer or exchange of the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rom180581_12"/>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“at the market offerings,” negotiated transactions, block trades or a combination of these methods or any other method permitted by law. We may sell the securities to or through one or more underwriters or dealers (acting as principal or agent), through agents, or directly to one or more purchasers. The securities may be distributed at a fixed price or prices, which may be changed, market prices prevailing at the time of sale, prices related to the prevailing market prices, or negotiated prices,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Nasdaq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otherwise than on Nasdaq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agent(s), dealer(s) or underwriter(s),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if any,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discounts or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securities, we may grant to the underwriters an option to purchase additional securities with an additional underwriting commission, as may be set forth in the applicable prospectus supplement. If we grant any such option, the terms of such option will be set forth in the prospectus supplement for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securities are offered by us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 of discounts or concessions. The underwriters may change from time to time any initial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To the extent that we make sales through one or more underwriters or agents in at the market offerings, we will do so pursuant to the terms of a sales agency financing agreement or other at the market offering arrangement between us and the underwriters or agents. If we engage in at the 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securities. The terms of any such agreement will be set forth in more detail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Any underwriters to whom we sell securities for public offering and sale may make a market in those securities, but they will not be obligated to do so and they may discontinue any market making at any time without notice.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may or may not be listed on a national securities exchange. We can make no assurance as to the liquidity of or the existence of trading market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anticipated date of delivery of offered securities will be set forth in the applicable prospectus supplement relating to each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rom180581_13"/>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any securities offered hereby will be passed upon for us by Goodwin Procter LLP, New York, NY, and for any underwriters or agents, by counsel named in the applicable prospectus supplement. </w:t>
      </w:r>
    </w:p>
    <w:p>
      <w:pPr>
        <w:pStyle w:val="TextBody"/>
        <w:bidi w:val="0"/>
        <w:spacing w:before="480" w:after="0"/>
        <w:jc w:val="center"/>
        <w:rPr>
          <w:rFonts w:ascii="Times New Roman" w:hAnsi="Times New Roman"/>
          <w:b/>
          <w:sz w:val="20"/>
        </w:rPr>
      </w:pPr>
      <w:bookmarkStart w:id="32" w:name="rom180581_14"/>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Amylyx Pharmaceuticals,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39210" cy="80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0"/>
                    <a:stretch>
                      <a:fillRect/>
                    </a:stretch>
                  </pic:blipFill>
                  <pic:spPr bwMode="auto">
                    <a:xfrm>
                      <a:off x="0" y="0"/>
                      <a:ext cx="3839210" cy="802005"/>
                    </a:xfrm>
                    <a:prstGeom prst="rect">
                      <a:avLst/>
                    </a:prstGeom>
                  </pic:spPr>
                </pic:pic>
              </a:graphicData>
            </a:graphic>
          </wp:inline>
        </w:drawing>
      </w:r>
      <w:r>
        <w:rPr/>
        <w:t xml:space="preserve"> </w:t>
      </w:r>
    </w:p>
    <w:p>
      <w:pPr>
        <w:pStyle w:val="TextBody"/>
        <w:bidi w:val="0"/>
        <w:spacing w:before="600" w:after="0"/>
        <w:jc w:val="center"/>
        <w:rPr>
          <w:rFonts w:ascii="Times New Roman" w:hAnsi="Times New Roman"/>
          <w:b/>
          <w:sz w:val="28"/>
        </w:rPr>
      </w:pPr>
      <w:r>
        <w:rPr>
          <w:rFonts w:ascii="Times New Roman" w:hAnsi="Times New Roman"/>
          <w:b/>
          <w:sz w:val="28"/>
        </w:rPr>
        <w:t xml:space="preserve">14,090,000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43"/>
        <w:gridCol w:w="102"/>
        <w:gridCol w:w="2449"/>
        <w:gridCol w:w="102"/>
        <w:gridCol w:w="3265"/>
        <w:gridCol w:w="102"/>
        <w:gridCol w:w="2042"/>
      </w:tblGrid>
      <w:tr>
        <w:trPr/>
        <w:tc>
          <w:tcPr>
            <w:tcW w:w="214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2143" w:type="dxa"/>
            <w:tcBorders/>
          </w:tcPr>
          <w:p>
            <w:pPr>
              <w:pStyle w:val="TableContents"/>
              <w:bidi w:val="0"/>
              <w:spacing w:before="0" w:after="283"/>
              <w:jc w:val="left"/>
              <w:rPr>
                <w:b/>
              </w:rPr>
            </w:pPr>
            <w:r>
              <w:rPr>
                <w:b/>
              </w:rPr>
              <w:t>Leerink Partners</w:t>
            </w:r>
          </w:p>
        </w:tc>
        <w:tc>
          <w:tcPr>
            <w:tcW w:w="102"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center"/>
              <w:rPr>
                <w:b/>
              </w:rPr>
            </w:pPr>
            <w:r>
              <w:rPr>
                <w:b/>
              </w:rPr>
              <w:t>Morgan Stanley</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Guggenheim Securities</w:t>
            </w:r>
          </w:p>
        </w:tc>
        <w:tc>
          <w:tcPr>
            <w:tcW w:w="1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right"/>
              <w:rPr>
                <w:b/>
              </w:rPr>
            </w:pPr>
            <w:r>
              <w:rPr>
                <w:b/>
              </w:rPr>
              <w:t>LifeSci Capital</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0" w:after="0"/>
        <w:jc w:val="center"/>
        <w:rPr>
          <w:rFonts w:ascii="Times New Roman" w:hAnsi="Times New Roman"/>
          <w:b/>
          <w:sz w:val="20"/>
        </w:rPr>
      </w:pPr>
      <w:r>
        <w:rPr>
          <w:rFonts w:ascii="Times New Roman" w:hAnsi="Times New Roman"/>
          <w:b/>
          <w:sz w:val="20"/>
        </w:rPr>
        <w:t xml:space="preserve">August 19,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3" w:name="d180581dexfilingfees.htm"/>
      <w:bookmarkStart w:id="34" w:name="ksd180581dexfilingfees"/>
      <w:bookmarkStart w:id="35" w:name="d180581dexfilingfees.htm"/>
      <w:bookmarkStart w:id="36" w:name="ksd180581dexfilingfees"/>
      <w:bookmarkEnd w:id="35"/>
      <w:bookmarkEnd w:id="36"/>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Amylyx Pharmaceuticals,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16,203,500 </w:t>
            </w:r>
          </w:p>
        </w:tc>
        <w:tc>
          <w:tcPr>
            <w:tcW w:w="1156" w:type="dxa"/>
            <w:tcBorders/>
            <w:shd w:fill="E7E7E2" w:val="clear"/>
            <w:vAlign w:val="center"/>
          </w:tcPr>
          <w:p>
            <w:pPr>
              <w:pStyle w:val="TableContents"/>
              <w:bidi w:val="0"/>
              <w:spacing w:before="0" w:after="283"/>
              <w:jc w:val="right"/>
              <w:rPr/>
            </w:pPr>
            <w:r>
              <w:rPr/>
              <w:t xml:space="preserve">$ 35.50 </w:t>
            </w:r>
          </w:p>
        </w:tc>
        <w:tc>
          <w:tcPr>
            <w:tcW w:w="1786" w:type="dxa"/>
            <w:tcBorders/>
            <w:shd w:fill="E7E7E2" w:val="clear"/>
            <w:vAlign w:val="center"/>
          </w:tcPr>
          <w:p>
            <w:pPr>
              <w:pStyle w:val="TableContents"/>
              <w:bidi w:val="0"/>
              <w:spacing w:before="0" w:after="283"/>
              <w:jc w:val="right"/>
              <w:rPr/>
            </w:pPr>
            <w:r>
              <w:rPr/>
              <w:t xml:space="preserve">$ 575,224,250.00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$ 79,438.47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7" w:name="MaxAggtOfferingPrice"/>
            <w:bookmarkEnd w:id="37"/>
            <w:r>
              <w:rPr/>
              <w:t xml:space="preserve">$ 575,224,250.00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$ 79,438.47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NetFeeAmt"/>
            <w:bookmarkEnd w:id="41"/>
            <w:r>
              <w:rPr/>
              <w:t xml:space="preserve">$ 79,438.47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296"/>
        <w:gridCol w:w="8705"/>
      </w:tblGrid>
      <w:tr>
        <w:trPr/>
        <w:tc>
          <w:tcPr>
            <w:tcW w:w="20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1" w:type="dxa"/>
            <w:gridSpan w:val="2"/>
            <w:tcBorders/>
            <w:vAlign w:val="center"/>
          </w:tcPr>
          <w:p>
            <w:pPr>
              <w:pStyle w:val="TableContents"/>
              <w:bidi w:val="0"/>
              <w:spacing w:before="0" w:after="283"/>
              <w:jc w:val="left"/>
              <w:rPr/>
            </w:pPr>
            <w:r>
              <w:rPr/>
              <w:t xml:space="preserve">The amount registered assumes the exercise in full of the underwriters' option to purchase up to 2,113,500 additional shares of common stock. The filing fee, calculated in accordance with Rule 457(r) under the Securities Act of 1933, as amended, has been transmitted to the Securities and Exchange Commission in connection with the securities offered by means of this prospectus supplement. This "Calculation of Filing Fee" table shall be deemed to update the "Calculation of Registration Fee" table in the Registrant's Registration Statement on Form S-3ASR filed with the Securities and Exchange Commission on March 3, 2026 (File No. 333-293956).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$575,224,250.00.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0001658551/000119312526086645/amlx-20251231.htm" TargetMode="External"/><Relationship Id="rId5" Type="http://schemas.openxmlformats.org/officeDocument/2006/relationships/hyperlink" Target="http://www.sec.gov/Archives/edgar/data/../../../ix?doc=/Archives/edgar/data/0001658551/000119312526171800/amlx-20260422.htm" TargetMode="External"/><Relationship Id="rId6" Type="http://schemas.openxmlformats.org/officeDocument/2006/relationships/hyperlink" Target="http://www.sec.gov/Archives/edgar/data/../../../ix?doc=/Archives/edgar/data/0001658551/000119312526210292/amlx-20260331.htm" TargetMode="External"/><Relationship Id="rId7" Type="http://schemas.openxmlformats.org/officeDocument/2006/relationships/hyperlink" Target="http://www.sec.gov/Archives/edgar/data/../../../ix?doc=/Archives/edgar/data/0001658551/000119312526336682/amlx-20260630.htm" TargetMode="External"/><Relationship Id="rId8" Type="http://schemas.openxmlformats.org/officeDocument/2006/relationships/hyperlink" Target="http://www.sec.gov/Archives/edgar/data/../../../ix?doc=/Archives/edgar/data/0001658551/000119312526006991/d45370d8k.htm" TargetMode="External"/><Relationship Id="rId9" Type="http://schemas.openxmlformats.org/officeDocument/2006/relationships/hyperlink" Target="http://www.sec.gov/Archives/edgar/data/../../../ix?doc=/Archives/edgar/data/0001658551/000119312526257390/d128401d8k.htm" TargetMode="External"/><Relationship Id="rId10" Type="http://schemas.openxmlformats.org/officeDocument/2006/relationships/hyperlink" Target="http://www.sec.gov/Archives/edgar/data/../../../ix?doc=/Archives/edgar/data/1658551/000119312526354716/d180533d8k.htm" TargetMode="External"/><Relationship Id="rId11" Type="http://schemas.openxmlformats.org/officeDocument/2006/relationships/hyperlink" Target="http://www.sec.gov/Archives/edgar/data/../../../ix?doc=/Archives/edgar/data/1658551/000119312526354793/d184004d8k.htm" TargetMode="External"/><Relationship Id="rId12" Type="http://schemas.openxmlformats.org/officeDocument/2006/relationships/hyperlink" Target="http://www.sec.gov/Archives/edgar/data/0001658551/000119312522001668/d155225d8a12b.htm" TargetMode="External"/><Relationship Id="rId13" Type="http://schemas.openxmlformats.org/officeDocument/2006/relationships/hyperlink" Target="http://www.sec.gov/Archives/edgar/data/1658551/000095017022005157/almx-10-2021.htm" TargetMode="External"/><Relationship Id="rId14" Type="http://schemas.openxmlformats.org/officeDocument/2006/relationships/image" Target="media/image3.jpeg"/><Relationship Id="rId15" Type="http://schemas.openxmlformats.org/officeDocument/2006/relationships/hyperlink" Target="http://www.sec.gov/Archives/edgar/data/../../../ix?doc=/Archives/edgar/data/1658551/000119312526086645/amlx-20251231.htm" TargetMode="External"/><Relationship Id="rId16" Type="http://schemas.openxmlformats.org/officeDocument/2006/relationships/hyperlink" Target="http://www.sec.gov/Archives/edgar/data/../../../ix?doc=/Archives/edgar/data/0001658551/000095017025057665/amlx-20250424.htm" TargetMode="External"/><Relationship Id="rId17" Type="http://schemas.openxmlformats.org/officeDocument/2006/relationships/hyperlink" Target="http://www.sec.gov/Archives/edgar/data/../../../ix?doc=/Archives/edgar/data/1658551/000119312526006991/d45370d8k.htm" TargetMode="External"/><Relationship Id="rId18" Type="http://schemas.openxmlformats.org/officeDocument/2006/relationships/hyperlink" Target="http://www.sec.gov/Archives/edgar/data/1658551/000119312522001668/d155225d8a12b.htm" TargetMode="External"/><Relationship Id="rId19" Type="http://schemas.openxmlformats.org/officeDocument/2006/relationships/hyperlink" Target="http://www.sec.gov/Archives/edgar/data/1658551/000095017022005157/almx-10-2021.htm" TargetMode="External"/><Relationship Id="rId20" Type="http://schemas.openxmlformats.org/officeDocument/2006/relationships/image" Target="media/image4.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24773</Words>
  <Characters>134927</Characters>
  <CharactersWithSpaces>160200</CharactersWithSpaces>
  <Paragraphs>1747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