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Cohen Joshua B</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AMYLYX PHARMACEUTICALS,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 CAMBRIDGE PARKWAY, SUITE 6W</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CAMBRIDGE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02142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Amylyx Pharmaceuticals, Inc.</w:t>
              </w:r>
            </w:hyperlink>
            <w:r>
              <w:rPr/>
              <w:t xml:space="preserve"> [ </w:t>
            </w:r>
            <w:r>
              <w:rPr>
                <w:rFonts w:ascii="Times;serif" w:hAnsi="Times;serif"/>
                <w:color w:val="0000FF"/>
                <w:sz w:val="24"/>
                <w:shd w:fill="FFFFFF" w:val="clear"/>
              </w:rPr>
              <w:t>AMLX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60"/>
        <w:gridCol w:w="901"/>
        <w:gridCol w:w="771"/>
        <w:gridCol w:w="598"/>
        <w:gridCol w:w="347"/>
        <w:gridCol w:w="970"/>
        <w:gridCol w:w="452"/>
        <w:gridCol w:w="614"/>
        <w:gridCol w:w="1275"/>
        <w:gridCol w:w="994"/>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6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3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6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6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60,039</w:t>
            </w:r>
            <w:r>
              <w:rPr>
                <w:rFonts w:ascii="Times;serif" w:hAnsi="Times;serif"/>
                <w:color w:val="008000"/>
                <w:position w:val="7"/>
                <w:sz w:val="16"/>
                <w:sz w:val="20"/>
                <w:shd w:fill="FFFFFF" w:val="clear"/>
              </w:rPr>
              <w:t>(1)</w:t>
            </w:r>
          </w:p>
        </w:tc>
        <w:tc>
          <w:tcPr>
            <w:tcW w:w="4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2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3,643,587</w:t>
            </w:r>
          </w:p>
        </w:tc>
        <w:tc>
          <w:tcPr>
            <w:tcW w:w="99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reported shares are represented by performance share units, or PSUs, and were awarded upon the achievement of certain performance metrics. Shares subject to the PSU vested on August 18, 2026.</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Joshua B. Cohen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98644" TargetMode="External"/><Relationship Id="rId5" Type="http://schemas.openxmlformats.org/officeDocument/2006/relationships/hyperlink" Target="http://www.sec.gov/cgi-bin/browse-edgar?action=getcompany&amp;CIK=000165855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600</Words>
  <Characters>3271</Characters>
  <CharactersWithSpaces>3803</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