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FRATES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AMYLYX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CAMBRIDGE PARKWAY, SUITE 6W</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Amylyx Pharmaceuticals, Inc.</w:t>
              </w:r>
            </w:hyperlink>
            <w:r>
              <w:rPr/>
              <w:t xml:space="preserve"> [ </w:t>
            </w:r>
            <w:r>
              <w:rPr>
                <w:rFonts w:ascii="Times;serif" w:hAnsi="Times;serif"/>
                <w:color w:val="0000FF"/>
                <w:sz w:val="24"/>
                <w:shd w:fill="FFFFFF" w:val="clear"/>
              </w:rPr>
              <w:t>AMLX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22,807</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244,435</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(2)</w:t>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15,459</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(3)</w:t>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11,072</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(4)</w:t>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40,000</w:t>
            </w:r>
            <w:r>
              <w:rPr>
                <w:rFonts w:ascii="Times;serif" w:hAnsi="Times;serif"/>
                <w:color w:val="008000"/>
                <w:position w:val="7"/>
                <w:sz w:val="16"/>
                <w:sz w:val="20"/>
                <w:shd w:fill="FFFFFF" w:val="clear"/>
              </w:rPr>
              <w:t>(5)</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Trust</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performance share units, or PSUs, and were awarded upon the achievement of certain performance metrics. Shares subject to the PSU vested on August 18,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JAMES M. FRATES 2025 GRAT NO 1 U/A DTD 12/12/2025, for which the Reporting Person serves as trustee and is the sole annuitant.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the James M. Frates 2024 Grantor Retained Annuity Trust No. 1, for which the Reporting Person serves as trustee and is the sole annuitant.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held by the FRATES FAMILY 2013 IRREV TRUST, for which the Reporting Person serves as trustee.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Reflects 40,000 shares previously reported as directly beneficially owned by the Reporting Person, which were transferred to the JAMES M. FRATES 2026 GRANTOR RETAINED ANNUITY TRUST NO. 1 on August 7, 2026 for no consideration. Such transfer constituted a change in form of beneficial ownership, exempted by Rule 16a-13 under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by the JAMES M. FRATES 2026 GRANTOR RETAINED ANNUITY TRUST NO. 1, for which the Reporting Person serves as trustee and is the sole annuitant. The Reporting Person disclaims beneficial ownership of such shares for purposes of Section 16 except to the extent of his pecuniary interest therein, if any, and this report shall not be deemed an admission that such shares are beneficially owned by him for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B. Cohen, as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5598" TargetMode="External"/><Relationship Id="rId5" Type="http://schemas.openxmlformats.org/officeDocument/2006/relationships/hyperlink" Target="http://www.sec.gov/cgi-bin/browse-edgar?action=getcompany&amp;CIK=00016585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985</Words>
  <Characters>5150</Characters>
  <CharactersWithSpaces>6046</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