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628015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60" w:hanging="4079"/>
        <w:spacing w:after="0" w:line="333"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6"/>
          <w:szCs w:val="16"/>
          <w:color w:val="auto"/>
          <w:highlight w:val="black"/>
        </w:rPr>
      </w:pP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Amylyx Pharmaceuticals, Inc.</w:t>
      </w:r>
    </w:p>
    <w:p>
      <w:pPr>
        <w:sectPr>
          <w:pgSz w:w="11900" w:h="16838" w:orient="portrait"/>
          <w:cols w:equalWidth="0" w:num="1">
            <w:col w:w="11240"/>
          </w:cols>
          <w:pgMar w:left="320" w:top="1045"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46-4600503</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0" w:lineRule="exact"/>
        <w:rPr>
          <w:sz w:val="24"/>
          <w:szCs w:val="24"/>
          <w:color w:val="auto"/>
        </w:rPr>
      </w:pPr>
    </w:p>
    <w:p>
      <w:pPr>
        <w:sectPr>
          <w:pgSz w:w="11900" w:h="16838" w:orient="portrait"/>
          <w:cols w:equalWidth="0" w:num="2">
            <w:col w:w="7460" w:space="480"/>
            <w:col w:w="3300"/>
          </w:cols>
          <w:pgMar w:left="320" w:top="1045" w:right="339" w:bottom="1440" w:gutter="0" w:footer="0" w:header="0"/>
          <w:type w:val="continuous"/>
        </w:sectPr>
      </w:pPr>
    </w:p>
    <w:tbl>
      <w:tblPr>
        <w:tblLayout w:type="fixed"/>
        <w:tblInd w:w="1780" w:type="dxa"/>
        <w:tblCellMar>
          <w:top w:w="0" w:type="dxa"/>
          <w:left w:w="0" w:type="dxa"/>
          <w:bottom w:w="0" w:type="dxa"/>
          <w:right w:w="0" w:type="dxa"/>
        </w:tblCellMar>
      </w:tblPr>
      <w:tr>
        <w:trPr>
          <w:trHeight w:val="22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43 Thorndike St.</w:t>
            </w:r>
          </w:p>
        </w:tc>
        <w:tc>
          <w:tcPr>
            <w:tcW w:w="2720" w:type="dxa"/>
            <w:vAlign w:val="bottom"/>
          </w:tcPr>
          <w:p>
            <w:pPr>
              <w:spacing w:after="0"/>
              <w:rPr>
                <w:sz w:val="19"/>
                <w:szCs w:val="19"/>
                <w:color w:val="auto"/>
              </w:rPr>
            </w:pPr>
          </w:p>
        </w:tc>
      </w:tr>
      <w:tr>
        <w:trPr>
          <w:trHeight w:val="252"/>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02141</w:t>
            </w:r>
          </w:p>
        </w:tc>
      </w:tr>
      <w:tr>
        <w:trPr>
          <w:trHeight w:val="173"/>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682-0917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AMLX</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0" w:type="dxa"/>
            <w:vAlign w:val="bottom"/>
          </w:tcPr>
          <w:p>
            <w:pPr>
              <w:jc w:val="center"/>
              <w:ind w:right="1388"/>
              <w:spacing w:after="0"/>
              <w:rPr>
                <w:sz w:val="20"/>
                <w:szCs w:val="20"/>
                <w:color w:val="auto"/>
              </w:rPr>
            </w:pPr>
            <w:r>
              <w:rPr>
                <w:rFonts w:ascii="Times New Roman" w:cs="Times New Roman" w:eastAsia="Times New Roman" w:hAnsi="Times New Roman"/>
                <w:sz w:val="14"/>
                <w:szCs w:val="14"/>
                <w:color w:val="auto"/>
              </w:rPr>
              <w:t>Nasdaq Global Select Stock Market</w:t>
            </w:r>
          </w:p>
        </w:tc>
        <w:tc>
          <w:tcPr>
            <w:tcW w:w="0" w:type="dxa"/>
            <w:vAlign w:val="bottom"/>
          </w:tcPr>
          <w:p>
            <w:pPr>
              <w:spacing w:after="0"/>
              <w:rPr>
                <w:sz w:val="1"/>
                <w:szCs w:val="1"/>
                <w:color w:val="auto"/>
              </w:rPr>
            </w:pPr>
          </w:p>
        </w:tc>
      </w:tr>
      <w:tr>
        <w:trPr>
          <w:trHeight w:val="205"/>
        </w:trPr>
        <w:tc>
          <w:tcPr>
            <w:tcW w:w="3500" w:type="dxa"/>
            <w:vAlign w:val="bottom"/>
          </w:tcPr>
          <w:p>
            <w:pPr>
              <w:spacing w:after="0"/>
              <w:rPr>
                <w:sz w:val="17"/>
                <w:szCs w:val="17"/>
                <w:color w:val="auto"/>
              </w:rPr>
            </w:pPr>
          </w:p>
        </w:tc>
        <w:tc>
          <w:tcPr>
            <w:tcW w:w="41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240" w:type="dxa"/>
            <w:vAlign w:val="bottom"/>
            <w:gridSpan w:val="7"/>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640" w:type="dxa"/>
            <w:vAlign w:val="bottom"/>
            <w:gridSpan w:val="6"/>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360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60" w:firstLine="637"/>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60" w:firstLine="637"/>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637"/>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7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ind w:right="620" w:firstLine="637"/>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60" w:firstLine="637"/>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40" w:firstLine="637"/>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40" w:firstLine="637"/>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640"/>
        <w:spacing w:after="0" w:line="161" w:lineRule="exact"/>
        <w:tabs>
          <w:tab w:leader="none" w:pos="79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120" w:firstLine="637"/>
        <w:spacing w:after="0" w:line="258"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held by non-affiliates of the Registrant, based on the closing price of the shares of common stock on the Nasdaq Global Select Market as of June 30, 2023, was $1.31 billion.</w:t>
      </w:r>
    </w:p>
    <w:p>
      <w:pPr>
        <w:spacing w:after="0" w:line="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12, 2024 was 67,782,139.</w:t>
      </w:r>
    </w:p>
    <w:p>
      <w:pPr>
        <w:spacing w:after="0" w:line="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1" w:name="page2"/>
    <w:bookmarkEnd w:id="1"/>
    <w:p>
      <w:pPr>
        <w:ind w:firstLine="637"/>
        <w:spacing w:after="0" w:line="239"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relating to the 2024 Annual Meeting of Stockholders within 120 days of the end of the registrant’s fiscal year ended December 31, 2023. Portions of such definitive proxy statement for the 2024 Annual Meeting of Stockholders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044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Special Notes Regarding Forward-looking Statements</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40" w:type="dxa"/>
            <w:vAlign w:val="bottom"/>
            <w:gridSpan w:val="2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74"/>
        </w:trPr>
        <w:tc>
          <w:tcPr>
            <w:tcW w:w="1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47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47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7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438"/>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w:t>
            </w:r>
          </w:p>
        </w:tc>
        <w:tc>
          <w:tcPr>
            <w:tcW w:w="80" w:type="dxa"/>
            <w:vAlign w:val="bottom"/>
            <w:tcBorders>
              <w:bottom w:val="single" w:sz="8" w:color="0000EE"/>
            </w:tcBorders>
          </w:tcPr>
          <w:p>
            <w:pPr>
              <w:spacing w:after="0"/>
              <w:rPr>
                <w:sz w:val="18"/>
                <w:szCs w:val="18"/>
                <w:color w:val="auto"/>
              </w:rPr>
            </w:pPr>
          </w:p>
        </w:tc>
        <w:tc>
          <w:tcPr>
            <w:tcW w:w="78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we may use our website or our LinkedIn profile at www.linkedin.com/company/amylyx to distribute material information. Our financial and other material information is routinely posted to and accessible on the Investors section of our website, available at www.amylyx.com.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Annual Report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Forward-looking statements in this Annual Report include, but are not limited to, express or implied statements about:</w:t>
      </w:r>
    </w:p>
    <w:p>
      <w:pPr>
        <w:spacing w:after="0" w:line="79" w:lineRule="exact"/>
        <w:rPr>
          <w:sz w:val="20"/>
          <w:szCs w:val="20"/>
          <w:color w:val="auto"/>
        </w:rPr>
      </w:pPr>
    </w:p>
    <w:p>
      <w:pPr>
        <w:ind w:left="1020" w:right="3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regulatory approvals of AMX0035 and obtain additional regulatory approvals of AMX0035 and any other current or future product candidates;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market AMX0035 and to successfully commercialize and market any other current or future product candidates, if approved, and the timing of any commercialization and marketing efforts;</w:t>
      </w:r>
    </w:p>
    <w:p>
      <w:pPr>
        <w:spacing w:after="0" w:line="54"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manufacturers and other service providers and their ability to perform adequately and to produce sufficient quantities of clinical and commercial supplies;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size, opportunity, demand and growth potential for AMX0035 and any other current or future product candidates, if approved;</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our own sales and marketing capabilities, or seek collaborative partners, to commercialize AMX0035 and any other current or future product candidates, if approved;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activities, preclinical studies and clinical trials, including our global Phase 3 clinical trial of AMX0035 for the treatment of amyotrophic lateral sclerosis, or ALS, known as the PHOENIX trial, our Phase 3 global clinical trial of AMX0035 for the treatment of progressive supranuclear palsy, or PSP, known as the ORION trial, and our Phase 2 clinical trial of AMX0035 for the treatment of Wolfram syndrome, or WS, known as the HELIOS trial;</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executives and to identify, hire and retain additional qualified professionals;</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ongoing clinical trials of AMX0035 and to advance any other current or future product candidates into, and successfully complete, preclinical studies and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enroll suitable patients in our clinical trials;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the accomplishment of various scientific, clinical, regulatory filings and approvals and other product development objectives, including the timing of a potential resubmission of a Marketing Authorisation Application, or MAA, for AMX0035 for the treatment of ALS in the European Union, or the EU, pending the results of our global Phase 3 PHOENIX clinical trial;</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AMX0035 in the U.S., Canada and in any other jurisdictions in which AMX0035 is approved, if any, and of any other current or future product candidates, if approved;</w:t>
      </w:r>
    </w:p>
    <w:p>
      <w:pPr>
        <w:spacing w:after="0" w:line="54" w:lineRule="exact"/>
        <w:rPr>
          <w:rFonts w:ascii="Times New Roman" w:cs="Times New Roman" w:eastAsia="Times New Roman" w:hAnsi="Times New Roman"/>
          <w:sz w:val="18"/>
          <w:szCs w:val="18"/>
          <w:color w:val="auto"/>
        </w:rPr>
      </w:pPr>
    </w:p>
    <w:p>
      <w:pPr>
        <w:ind w:left="1020" w:right="5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AMX0035 and any other current or future product candidates, if approved, by physicians, patients, third-party payors and others in the medical community;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product candidates and technology;</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any regulatory developments;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 capital requirements, cash runway and future needs for additional financing;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our ability to maintain profitability;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our quarterly and annual operating results and the related effects on our stock price;</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8"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global economic uncertainty and financial market volatility caused by economic effects of rising inflation and interest rates, global health crises, geopolitical events, changes in international trade relationships and military conflicts, such as the ongoing conflict between Russia and Ukraine and the conflict in Israel, on any of the foregoing or other aspects of our business or operations; and</w:t>
      </w:r>
    </w:p>
    <w:p>
      <w:pPr>
        <w:spacing w:after="0" w:line="51"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about future events, including those listed under the section titled “Risk Factors.”</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9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Solely for convenience, our trademarks and trade names in this report are referred to without the ® and ™ symbols, but such references should not be construed as any indicator that we will not assert, to the fullest extent under applicable law, our rights thereto.</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Amylyx Pharmaceuticals, Inc. (also referred to as Amylyx, we, our or us) is a commercial-stage biotechnology company with a mission to end the suffering caused by neurodegenerative diseases. We have been working in amyotrophic lateral sclerosis, or ALS, and neurodegenerative diseases for over a decade and have been making significant progress in transforming the treatment of these diseases.</w:t>
      </w:r>
    </w:p>
    <w:p>
      <w:pPr>
        <w:spacing w:after="0" w:line="177" w:lineRule="exact"/>
        <w:rPr>
          <w:sz w:val="20"/>
          <w:szCs w:val="20"/>
          <w:color w:val="auto"/>
        </w:rPr>
      </w:pPr>
    </w:p>
    <w:p>
      <w:pPr>
        <w:ind w:right="320" w:firstLine="749"/>
        <w:spacing w:after="0" w:line="281" w:lineRule="auto"/>
        <w:rPr>
          <w:sz w:val="20"/>
          <w:szCs w:val="20"/>
          <w:color w:val="auto"/>
        </w:rPr>
      </w:pPr>
      <w:r>
        <w:rPr>
          <w:rFonts w:ascii="Times New Roman" w:cs="Times New Roman" w:eastAsia="Times New Roman" w:hAnsi="Times New Roman"/>
          <w:sz w:val="18"/>
          <w:szCs w:val="18"/>
          <w:color w:val="auto"/>
        </w:rPr>
        <w:t>Since our founding in 2013, we have transformed from a research-stage company focused on addressing the needs of patients suffering from neurodegenerative diseases to a commercial enterprise with development programs across several indications.</w:t>
      </w:r>
    </w:p>
    <w:p>
      <w:pPr>
        <w:spacing w:after="0" w:line="16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first commercial product, AMX0035 (sodium phenylbutyrate [PB] and taurursodiol [TURSO], also known as RELYVRIO in the U.S. and ALBRIOZA in Canada) is the first and only ALS therapy of which we are aware that has been shown to slow disease progression, help maintain functional independence, and extend overall survival in the same clinical trial, with a generally well-tolerated side effect profile and oral administration. AMX0035 was commercially launched as RELYVRIO in the U.S. in October 2022 and commercially launched as ALBRIOZA in Canada in July 2022. Since the launch of RELYVRIO and ALBRIOZA through December 31, 2023, we have generated net product revenue of $403.0 million. We believe AMX0035 has the potential to become a widely-used ALS medication and provides an opportunity to transform ALS from a disease for which symptom management is the standard of care to a disease with meaningful interventions. In addition, we believe AMX0035 has the potential to be a foundational therapy for neurodegenerative diseases, meaning that it could be used alone or in conjunction with other therapies to change the treatment paradigm across a broad range of neurodegenerative diseases.</w:t>
      </w:r>
    </w:p>
    <w:p>
      <w:pPr>
        <w:spacing w:after="0" w:line="186"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We are committed to bringing the benefits of AMX0035 to the more than 200,000 people living with ALS worldwide. We are building a global infrastructure to commercialize AMX0035 in additional jurisdictions where it may be approved and engaging with key stakeholders around the world to explore opportunities for access including in the EU and Japan.</w:t>
      </w:r>
    </w:p>
    <w:p>
      <w:pPr>
        <w:spacing w:after="0" w:line="17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We continue to focus on the global PHOENIX Phase 3 clinical trial of AMX0035 for the treatment of ALS, a 48-week, randomized, double-blind, placebo-controlled trial at clinical sites in the U.S. and Europe, and expect to report topline results during or before the second quarter of 2024. If the data from PHOENIX are supportive, it will be the first time that two clinical trials have demonstrated a benefit in ALS. We believe that supportive PHOENIX data will further accelerate the commercial launch of AMX0035 and the transformation of the treatment of ALS.</w:t>
      </w:r>
    </w:p>
    <w:p>
      <w:pPr>
        <w:spacing w:after="0" w:line="182"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addition to ALS, we believe there is strong scientific rationale to use AMX0035 to treat other neurodegenerative diseases. AMX0035 was designed to slow or mitigate neurodegeneration by targeting endoplasmic reticulum, or ER, stress and mitochondrial dysfunction, two connected central pathways that lead to neurodegeneration. We believe that our proprietary combination of PB and TURSO and their respective mechanisms of action will allow us to synergistically target abnormal cell death to better prevent neurodegeneration than treatment targeted at either mechanism of action alone. We are actively advancing clinical trials to evaluate AMX0035 in progressive supranuclear palsy, or PSP, and Wolfram syndrome, or WS.</w:t>
      </w:r>
    </w:p>
    <w:p>
      <w:pPr>
        <w:spacing w:after="0" w:line="182" w:lineRule="exact"/>
        <w:rPr>
          <w:sz w:val="20"/>
          <w:szCs w:val="20"/>
          <w:color w:val="auto"/>
        </w:rPr>
      </w:pPr>
    </w:p>
    <w:p>
      <w:pPr>
        <w:ind w:right="180" w:firstLine="749"/>
        <w:spacing w:after="0" w:line="265" w:lineRule="auto"/>
        <w:rPr>
          <w:sz w:val="20"/>
          <w:szCs w:val="20"/>
          <w:color w:val="auto"/>
        </w:rPr>
      </w:pPr>
      <w:r>
        <w:rPr>
          <w:rFonts w:ascii="Times New Roman" w:cs="Times New Roman" w:eastAsia="Times New Roman" w:hAnsi="Times New Roman"/>
          <w:sz w:val="18"/>
          <w:szCs w:val="18"/>
          <w:color w:val="auto"/>
        </w:rPr>
        <w:t>Consistent with our commitment to ongoing research to identify additional potential treatments for ALS and other neurodegenerative diseases, we also are developing AMX0114, an antisense oligonucleotide, for the treatment of people living with ALS. Our current pipeline is represented in the table below.</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1124585</wp:posOffset>
            </wp:positionH>
            <wp:positionV relativeFrom="page">
              <wp:posOffset>705485</wp:posOffset>
            </wp:positionV>
            <wp:extent cx="5753735" cy="5034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53735" cy="503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498475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Company and Team</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Amylyx was founded on one simple, unanswered question: What causes neurons to die? Co-CEOs Josh Cohen and Justin Klee began their journey of uncovering the answer, building a world-class company dedicated to ending the suffering caused by relentless progressive neurodegenerative diseases, 11 years ago in 2013. We have assembled a team with deep scientific, clinical, business and leadership experience, bolstered by expertise in biotechnology to help realize our goal. Our Chief Financial Officer, James Frates, brings over 20 years of experience as the Chief Financial Officer of Alkermes. Our Chief Medical Officer, Camille L. Bedrosian, brings nearly 30 years of experience in building successful clinical development and translation research programs in the pharmaceutical industry, including as Chief Medical Officer at Ultragenyx, Alexion, and ARIAD Pharmaceuticals. Our Chief Technical Operations Officer, Tom Holmes, brings more than 25 years of leadership experience at Biogen in supply chain, pharmaceutical manufacturing and program management. Our Chief Legal Officer and General Counsel, Gina M. Mazzariello, brings more than 20 years of corporate and commercial legal experience in the healthcare industry, including holding leadership positions at Boehringer Ingelheim USA, Inc. Our Chief Human Resources Officer, Linda Arsenault, brings over 30 years of people leadership and strategic business acumen including most recently from Sunovion where she was the Chief Human Resources Officer. This team brings a diverse set of skills uniquely suited to drive successful commercialization of AMX0035 in ALS while continuing to advance our pipeline, including studying AMX0035 in other indications, and to explore new approaches and compounds in-house and in partnership with leading clinicians and researchers.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mission is to one day end the suffering caused by neurodegenerative diseases. Key elements of our strategy to achieve this mission include:</w:t>
      </w:r>
    </w:p>
    <w:p>
      <w:pPr>
        <w:spacing w:after="0" w:line="113" w:lineRule="exact"/>
        <w:rPr>
          <w:sz w:val="20"/>
          <w:szCs w:val="20"/>
          <w:color w:val="auto"/>
        </w:rPr>
      </w:pPr>
    </w:p>
    <w:p>
      <w:pPr>
        <w:ind w:left="900" w:hanging="263"/>
        <w:spacing w:after="0" w:line="27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Effectively and efficiently commercializing RELYVRIO for ALS in adults in the U.S. and ALBRIOZA for ALS in Canada, obtaining additional regulatory approvals of AMX0035, and commercializing AMX0035 in other key territories, if approved. </w:t>
      </w:r>
      <w:r>
        <w:rPr>
          <w:rFonts w:ascii="Times New Roman" w:cs="Times New Roman" w:eastAsia="Times New Roman" w:hAnsi="Times New Roman"/>
          <w:sz w:val="17"/>
          <w:szCs w:val="17"/>
          <w:color w:val="auto"/>
        </w:rPr>
        <w:t>In 2022, AMX0035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by the FDA and commercially launched in the U.S. as RELYVRIO and approved with conditions and commercially launched as ALBRIOZA in Canada. We believe our commercial capabilities, coupled with our understanding of the ALS patient and medical community, enabled us to successfully commercialize, to date, RELYVRIO for ALS in the U.S. and ALBRIOZA for ALS in Canada. We remain committed to bringing the benefits of AMX0035 to the more than 200,000 people living with ALS worldwide. Assuming the data from the PHOENIX trial are supportive, we plan to seek approval for AMX0035 for the treatment of ALS in the EU and the United Kingdom, or UK, as quickly as possible. In addition, we continue to interact with key stakeholders around the world, including Japan, to explore opportunities for access.</w:t>
      </w:r>
    </w:p>
    <w:p>
      <w:pPr>
        <w:spacing w:after="0" w:line="61" w:lineRule="exact"/>
        <w:rPr>
          <w:rFonts w:ascii="Times New Roman" w:cs="Times New Roman" w:eastAsia="Times New Roman" w:hAnsi="Times New Roman"/>
          <w:sz w:val="17"/>
          <w:szCs w:val="17"/>
          <w:color w:val="auto"/>
        </w:rPr>
      </w:pPr>
    </w:p>
    <w:p>
      <w:pPr>
        <w:ind w:left="900" w:right="60" w:hanging="263"/>
        <w:spacing w:after="0" w:line="25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Maximizing the therapeutic potential of AMX0035 by expanding into additional neurodegenerative diseases. </w:t>
      </w:r>
      <w:r>
        <w:rPr>
          <w:rFonts w:ascii="Times New Roman" w:cs="Times New Roman" w:eastAsia="Times New Roman" w:hAnsi="Times New Roman"/>
          <w:sz w:val="18"/>
          <w:szCs w:val="18"/>
          <w:color w:val="auto"/>
        </w:rPr>
        <w:t>We believe our preclinical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clinical data from the CENTAUR trial showing functional and survival benefits for ALS patients treated with AMX0035 support its potential mechanism of targeting ER stress and mitochondrial dysfunction. Based on our extensive understanding of neurodegenerative disease pathways, we believe AMX0035 may provide benefit across multiple diseases characterized by neurodegeneration. We conducted our Phase 2 PEGASUS clinical trial in AD to obtain safety data along with initial efficacy and biomarker data, which is helping us evaluate the development of AMX0035 for the treatment of AD within our clinical development strategy. We are also pursuing development of AMX0035 for the treatment of PSP with our Phase 3 ORION clinical trial and WS with our Phase 2 HELIOS clinical trial. As we select additional indications for AMX0035, we will prioritize those indications which we believe, if successful, will most rapidly lead to marketed products and to patient benefit, if approval is received.</w:t>
      </w:r>
    </w:p>
    <w:p>
      <w:pPr>
        <w:spacing w:after="0" w:line="78" w:lineRule="exact"/>
        <w:rPr>
          <w:rFonts w:ascii="Times New Roman" w:cs="Times New Roman" w:eastAsia="Times New Roman" w:hAnsi="Times New Roman"/>
          <w:sz w:val="18"/>
          <w:szCs w:val="18"/>
          <w:color w:val="auto"/>
        </w:rPr>
      </w:pPr>
    </w:p>
    <w:p>
      <w:pPr>
        <w:ind w:left="900" w:right="40" w:hanging="263"/>
        <w:spacing w:after="0" w:line="25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Continuing to collaborate with a network of patient advocacy organizations, key opinion leaders, research institutions, and healthcare professionals to inform our patient-centric approach. </w:t>
      </w:r>
      <w:r>
        <w:rPr>
          <w:rFonts w:ascii="Times New Roman" w:cs="Times New Roman" w:eastAsia="Times New Roman" w:hAnsi="Times New Roman"/>
          <w:sz w:val="18"/>
          <w:szCs w:val="18"/>
          <w:color w:val="auto"/>
        </w:rPr>
        <w:t>We have partnered with a network of key constituents, which we believe will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help us to develop therapies in an efficient and impactful manner. What we learn from the experiences and insights from these groups, which include people living with neurodegenerative diseases, their families, and organizations continues to inform our approach to discovering and developing treatments for people living with ALS and advancing research that addresses unmet needs in additional neurodegenerative diseases. It is a standard practice for Amylyx to partner and consistently engage with these key constituents throughout the pre-clinical to commercialization continuum as we continue to advance our pipeline to better serve and benefit the patients and clinicians.</w:t>
      </w:r>
    </w:p>
    <w:p>
      <w:pPr>
        <w:spacing w:after="0" w:line="72" w:lineRule="exact"/>
        <w:rPr>
          <w:rFonts w:ascii="Times New Roman" w:cs="Times New Roman" w:eastAsia="Times New Roman" w:hAnsi="Times New Roman"/>
          <w:sz w:val="18"/>
          <w:szCs w:val="18"/>
          <w:color w:val="auto"/>
        </w:rPr>
      </w:pPr>
    </w:p>
    <w:p>
      <w:pPr>
        <w:ind w:left="900" w:right="80" w:hanging="263"/>
        <w:spacing w:after="0" w:line="26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Deploying a strategic approach to design, acquire and develop new therapies. </w:t>
      </w:r>
      <w:r>
        <w:rPr>
          <w:rFonts w:ascii="Times New Roman" w:cs="Times New Roman" w:eastAsia="Times New Roman" w:hAnsi="Times New Roman"/>
          <w:sz w:val="18"/>
          <w:szCs w:val="18"/>
          <w:color w:val="auto"/>
        </w:rPr>
        <w:t>We follow a scientifically rigorous approach to evaluating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to broaden our portfolio. We plan to target assets that allow us to leverage our experience with neurodegenerative pathways and AMX0035’s mechanism of action, focusing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 w:name="page9"/>
    <w:bookmarkEnd w:id="8"/>
    <w:p>
      <w:pPr>
        <w:ind w:left="900" w:right="100"/>
        <w:spacing w:after="0" w:line="256" w:lineRule="auto"/>
        <w:rPr>
          <w:sz w:val="20"/>
          <w:szCs w:val="20"/>
          <w:color w:val="auto"/>
        </w:rPr>
      </w:pPr>
      <w:r>
        <w:rPr>
          <w:rFonts w:ascii="Times New Roman" w:cs="Times New Roman" w:eastAsia="Times New Roman" w:hAnsi="Times New Roman"/>
          <w:sz w:val="18"/>
          <w:szCs w:val="18"/>
          <w:color w:val="auto"/>
        </w:rPr>
        <w:t>primarily on preventing neuron death. When evaluating assets, we consider not only our ability to apply our experience with AMX0035, but also a variety of factors, including unmet medical need, biological rationale, feasibility of clinical development, potential for regulatory approval, costs of development, competitive landscape and commercial potential. For example, in July 2022, we announced that we entered into a two-year sponsored research agreement with Sunnybrook Research Institute to expedite the identification of novel drug candidates that inhibit Bax and Bak for the development of therapeutics for neurodegenerative diseases, specifically ALS. We are also developing AMX0114, an antisense oligonucleotide, for people living with 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Neurodegenerative Disease</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prevention of neurodegeneration represents one of today’s most significant unmet medical needs. The development of therapies that preserve neuron health has historically been limited by unique challenges, including an imperfect understanding of underlying biology and a lack of translation of activity observed in preclinical studies to results in clinical trials. Many neurodegenerative diseases only have symptom-modifying treatment options, with no approved therapies that meaningfully alter the disease course. Others that have approved disease altering therapies still have an unmet need for additional options to further slow disease progression and/or improve survival outcomes. There remains an urgent need for novel approaches to address most neurodegenerative diseases, especially for progressive and severe conditions such as ALS, PSP, WS and AD.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Rationale for AMX0035 in Neurodegenerative Disease</w:t>
      </w:r>
    </w:p>
    <w:p>
      <w:pPr>
        <w:spacing w:after="0" w:line="229" w:lineRule="exact"/>
        <w:rPr>
          <w:sz w:val="20"/>
          <w:szCs w:val="20"/>
          <w:color w:val="auto"/>
        </w:rPr>
      </w:pPr>
    </w:p>
    <w:p>
      <w:pPr>
        <w:ind w:right="60" w:firstLine="749"/>
        <w:spacing w:after="0" w:line="272" w:lineRule="auto"/>
        <w:rPr>
          <w:sz w:val="20"/>
          <w:szCs w:val="20"/>
          <w:color w:val="auto"/>
        </w:rPr>
      </w:pPr>
      <w:r>
        <w:rPr>
          <w:rFonts w:ascii="Times New Roman" w:cs="Times New Roman" w:eastAsia="Times New Roman" w:hAnsi="Times New Roman"/>
          <w:sz w:val="17"/>
          <w:szCs w:val="17"/>
          <w:color w:val="auto"/>
        </w:rPr>
        <w:t>Unlike most other cells in the body that regularly die and are replaced as part of healthy function, mature neurons are normally resistant to cell death and generally cannot regenerate. Neuron death is only triggered when multiple stress factors are activated beyond the neuron’s recovery capacity, a circumstance commonly seen in neurodegenerative disorders. Most neurodegenerative disorders have complex pathophysiology, with multiple pathways contributing and converging to eventually cause neuron death. A large fraction of these pathological changes in neurons can be linked to dysfunction in the ER and mitochondria that affect metabolism and secretion of lipids and proteins, calcium homeostasis, and energy production. Dysfunction in these two essential cellular structures is implicated across many neurodegenerative disorders, highlighting the central role they play in maintaining neuron health and survival and providing the rationale for AMX0035, which was designed to rescue ER and mitochondrial function, and to protect and preserve neurons.</w:t>
      </w:r>
    </w:p>
    <w:p>
      <w:pPr>
        <w:spacing w:after="0" w:line="175" w:lineRule="exact"/>
        <w:rPr>
          <w:sz w:val="20"/>
          <w:szCs w:val="20"/>
          <w:color w:val="auto"/>
        </w:rPr>
      </w:pPr>
    </w:p>
    <w:p>
      <w:pPr>
        <w:ind w:right="340" w:firstLine="749"/>
        <w:spacing w:after="0" w:line="265" w:lineRule="auto"/>
        <w:rPr>
          <w:sz w:val="20"/>
          <w:szCs w:val="20"/>
          <w:color w:val="auto"/>
        </w:rPr>
      </w:pPr>
      <w:r>
        <w:rPr>
          <w:rFonts w:ascii="Times New Roman" w:cs="Times New Roman" w:eastAsia="Times New Roman" w:hAnsi="Times New Roman"/>
          <w:sz w:val="18"/>
          <w:szCs w:val="18"/>
          <w:color w:val="auto"/>
        </w:rPr>
        <w:t>AMX0035, a dual unfolded protein response, or UPR, -Bax apoptosis inhibitor, is a proprietary oral fixed-dose combination of two small molecules: PB, which is a small molecular chaperone that reduces the UPR, preventing cell death resulting from the UPR, and TURSO, which is a Bax inhibitor that reduces cell death through apoptosis.</w:t>
      </w:r>
    </w:p>
    <w:p>
      <w:pPr>
        <w:spacing w:after="0" w:line="177" w:lineRule="exact"/>
        <w:rPr>
          <w:sz w:val="20"/>
          <w:szCs w:val="20"/>
          <w:color w:val="auto"/>
        </w:rPr>
      </w:pPr>
    </w:p>
    <w:p>
      <w:pPr>
        <w:jc w:val="both"/>
        <w:ind w:right="180" w:firstLine="749"/>
        <w:spacing w:after="0" w:line="260" w:lineRule="auto"/>
        <w:rPr>
          <w:sz w:val="20"/>
          <w:szCs w:val="20"/>
          <w:color w:val="auto"/>
        </w:rPr>
      </w:pPr>
      <w:r>
        <w:rPr>
          <w:rFonts w:ascii="Times New Roman" w:cs="Times New Roman" w:eastAsia="Times New Roman" w:hAnsi="Times New Roman"/>
          <w:sz w:val="18"/>
          <w:szCs w:val="18"/>
          <w:color w:val="auto"/>
        </w:rPr>
        <w:t xml:space="preserve">Through the resolution of the UPR and by inhibiting translocation of the Bax to the outer mitochondrial membrane, we have shown in multiple models that AMX0035 can keep neurons alive under a variety of different conditions and stresses, including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of neurodegeneration, ER stress, mitochondrial dysfunction, oxidative stress and disease-specific models of a variety of other conditions,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of ALS, AD and multiple sclerosis, or MS.</w:t>
      </w:r>
    </w:p>
    <w:p>
      <w:pPr>
        <w:spacing w:after="0" w:line="18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We designed AMX0035 to reduce neuron cell death through simultaneous mitigation of ER stress and mitochondrial dysfunction. PB has been shown to reduce ER stress through upregulation of a protein known as DJ-1 that is a master chaperone regulator, recruitment of other chaperone proteins, and as a small molecular chaperone. TURSO is a bile acid that has been shown to recover mitochondrial bioenergetic deficits through incorporation into the mitochondrial membrane, reducing BAX translocation to the mitochondrial membrane, reducing mitochondrial permeability, and increasing the apoptotic threshold of the cell. Through our research, we identified the specific ratios at which the combination of PB and TURSO target these critical, connected pathways and show synergistic activity in improving neuronal cell viability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2022, preclinical data showing the combined potential synergistic effect of PB and TURSO, compared to the individual compounds, were published in the peer-reviewed medical journal </w:t>
      </w:r>
      <w:r>
        <w:rPr>
          <w:rFonts w:ascii="Times New Roman" w:cs="Times New Roman" w:eastAsia="Times New Roman" w:hAnsi="Times New Roman"/>
          <w:sz w:val="18"/>
          <w:szCs w:val="18"/>
          <w:i w:val="1"/>
          <w:iCs w:val="1"/>
          <w:color w:val="auto"/>
        </w:rPr>
        <w:t>Annals of Clinical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Translational Neurology</w:t>
      </w:r>
      <w:r>
        <w:rPr>
          <w:rFonts w:ascii="Times New Roman" w:cs="Times New Roman" w:eastAsia="Times New Roman" w:hAnsi="Times New Roman"/>
          <w:sz w:val="18"/>
          <w:szCs w:val="18"/>
          <w:color w:val="auto"/>
        </w:rPr>
        <w:t>. These data on the transcriptomic and metabolomic profiles of primary skin fibroblasts from adults with sporadic ALS and adults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ALS showed that combined PB and TURSO had a greater and more distinct effect on genes and metabolites involved in ALS-relevant pathways compared to either sodium phenylbutyrate or taurursodiol (also known as ursodoxicoltaurine) alone. We then developed AMX0035 as an optimized oral formulation to be tested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clinically.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9" w:name="page10"/>
    <w:bookmarkEnd w:id="9"/>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Our preclinical studies have shown that PB and TURSO, in combination, can inhibit a number of pathological pathways associated with neurodegenerative diseases in cell culture and animal models. For example,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of neurodegeneration, we tested the potential abilities of PB and TURSO individually and in combination to prevent oxidative-induced neuronal death, or cell viability, which was measured using a PrestoBlue reagent. In this experiment, hydrogen peroxide was applied to rat primary cortical neurons in a concentration sufficient to kill approximately 40% of the neurons. Particular doses of PB and TURSO individually protected against some of the neuron death, and cell viability reached approximately 80%. However, when these rat primary cortical neurons were dosed with particular ratios of PB and TURSO in combination, nearly 100% of oxidative-induced neuron death was prevented. The results of this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are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130175</wp:posOffset>
            </wp:positionV>
            <wp:extent cx="5283200" cy="2457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3200"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Additionally, we have observed benefit from the administration of particular ratios of PB and TURSO across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of ER stress, mitochondrial dysfunction, oxidative stress, and disease specific models of ALS, AD, Parkinson’s disease, MS, Friedreich’s Ataxia, primary mitochondrial myopathies and a variety of other conditions. We have also conducted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of PB and TURSO, in combination, including models of ALS, AD and MS. Additionally, academic groups have conducted studies with monotherapy treatment with TURSO and/or PB in models of ALS, AD, MS, Parkinson’s Disease, Huntington’s Disease, PSP, Multi-System Atrophy, X-linked adrenoleukodystrophy, and a variety of other models. We believe this body of evidence collectively supports the use of this combination to treat neurodegenerative indications and led us to pursue the development of AMX0035 in other disease indications.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AMX0035 for the Treatment of 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ALS</w:t>
      </w:r>
    </w:p>
    <w:p>
      <w:pPr>
        <w:spacing w:after="0" w:line="22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initially developed AMX0035 for the treatment of ALS, a relentlessly progressive and fatal neurodegenerative disease. ALS is caused by motor neuron death in the brain and spinal cord, leading to deteriorating muscle function, the inability to move, speak, swallow, and eat, respiratory paralysis, and, eventually, death. In the later stages of the disease, a person might require constant care, a wheelchair to enable mobility, and mechanical support to communicate, eat and breathe. ALS remains universally fatal with approximately half of patients passing away less than a median of 3 years from symptom onset.</w:t>
      </w:r>
    </w:p>
    <w:p>
      <w:pPr>
        <w:spacing w:after="0" w:line="182"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Despite being classified as a rare disease by the U.S. Food and Drug Administration, or the FDA, and the European Medicines Agency, or the EMA, ALS is considered one of the more common adult-onset neuromuscular diseases worldwide. At least 200,000 people worldwide are diagnosed with ALS. We estimate, based on public sources, that there are approximately 30,000 ALS patients in the U.S. More than 30,000 ALS patients are estimated to be located in the EU and the UK, and an estimated 3,000 ALS patients are located in Canada.</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8" w:right="439" w:bottom="1440" w:gutter="0" w:footer="0" w:header="0"/>
        </w:sectPr>
      </w:pPr>
    </w:p>
    <w:bookmarkStart w:id="10" w:name="page11"/>
    <w:bookmarkEnd w:id="10"/>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Over 90% of patients have no family history of ALS, known as “sporadic” ALS. While other development approaches seek to address genetic instances of ALS, AMX0035 is designed to target all instances of ALS, regardless of whether it is sporadic or genetic. Most people who develop ALS are between the ages of 40 and 70, with a median age of 55 at the time of diagnosis. However, cases of the disease do occur in people in their twenties and thirties.</w:t>
      </w:r>
    </w:p>
    <w:p>
      <w:pPr>
        <w:spacing w:after="0" w:line="182" w:lineRule="exact"/>
        <w:rPr>
          <w:sz w:val="20"/>
          <w:szCs w:val="20"/>
          <w:color w:val="auto"/>
        </w:rPr>
      </w:pPr>
    </w:p>
    <w:p>
      <w:pPr>
        <w:ind w:right="180" w:firstLine="749"/>
        <w:spacing w:after="0" w:line="276" w:lineRule="auto"/>
        <w:rPr>
          <w:sz w:val="20"/>
          <w:szCs w:val="20"/>
          <w:color w:val="auto"/>
        </w:rPr>
      </w:pPr>
      <w:r>
        <w:rPr>
          <w:rFonts w:ascii="Times New Roman" w:cs="Times New Roman" w:eastAsia="Times New Roman" w:hAnsi="Times New Roman"/>
          <w:sz w:val="17"/>
          <w:szCs w:val="17"/>
          <w:color w:val="auto"/>
        </w:rPr>
        <w:t>Medical costs for patients newly diagnosed with ALS in the U.S. are substantial and increase rapidly with each disability milestone. Care of patients with ALS is intensive and requires a team of medical professionals, special equipment, and assistance with daily activities. Caregivers are often forced to miss work or give up employment opportunities to provide care, leading to increased financial strain. The disease also impacts the patient’s family, who generally provide the bulk of caregiving, which often entails the provision of 24-hour care. The constant adaptation of caregivers to the demands of the ALS disease progression requires significant physical effort and mental exhaustion particularly during the advanced stages of the disease.</w:t>
      </w:r>
    </w:p>
    <w:p>
      <w:pPr>
        <w:spacing w:after="0" w:line="170"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Given half of the patients diagnosed with ALS pass away less than a median of 3 years from symptom onset, a high proportion of the patient population has been recently diagnosed. A therapy that is able to extend independence and slow the loss of physical function of people living with ALS has the potential to increase the number of people who are able to continue living with their disease.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Unmet Need in ALS</w:t>
      </w:r>
    </w:p>
    <w:p>
      <w:pPr>
        <w:spacing w:after="0" w:line="229"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ALS is a heterogeneous disease that arises from multiple mechanistic underpinnings, leading patients to experience variable onset and delayed diagnosis, persistent progression and loss of muscle function, and shortened survival.</w:t>
      </w:r>
    </w:p>
    <w:p>
      <w:pPr>
        <w:spacing w:after="0" w:line="16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There is a significant unmet need for ALS therapies that target multiple pathogenic pathways, are disease-modifying, and can provide both functional and survival benefit to patients. AMX0035 treatment by itself and coupled with two other FDA-approved therapeutic agents for ALS, riluzole, an anti-glutamatergic agent, and edaravone, a free-radical scavenger, have been shown to modulate the course of ALS. In pivotal clinical trials, riluzole demonstrated longer time to tracheostomy or death compared to placebo and edaravone demonstrated longer retention of function compared to placebo. However, a need remains for ALS therapies that demonstrate both retention of function and longer survival, allowing patients to maintain greater independence for longer.</w:t>
      </w:r>
    </w:p>
    <w:p>
      <w:pPr>
        <w:spacing w:after="0" w:line="186"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Due to the multi-pathway pathophysiology of ALS, experts agree that successful treatment will likely require concurrent targeting of multiple key neuronal death pathways. There is a strong rationale for treatments that target identified convergence points of these critical pathways, including in the ER and mitochondria, and we believe that a therapy that targets multiple pathways simultaneously, like AMX0035, aligns with the emerging ALS treatment paradigm.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AMX0035 for ALS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designed our Phase 2 CENTAUR trial with input from leading ALS experts from NEALS to detect a significant difference between AMX0035 and placebo. The study also provided the option for participants to continue with available approved therapies, riluzole and edaravone, for the duration of the trial. The FDA granted orphan drug designation for AMX0035 for the treatment of patients with ALS in September 2017. In December 2019, we announced positive topline results from our CENTAUR trial. The trial met its primary endpoint, and we published detailed trial data in the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England Journal of Medicine </w:t>
      </w:r>
      <w:r>
        <w:rPr>
          <w:rFonts w:ascii="Times New Roman" w:cs="Times New Roman" w:eastAsia="Times New Roman" w:hAnsi="Times New Roman"/>
          <w:sz w:val="18"/>
          <w:szCs w:val="18"/>
          <w:color w:val="auto"/>
        </w:rPr>
        <w:t>in September 2020 and in the</w:t>
      </w:r>
      <w:r>
        <w:rPr>
          <w:rFonts w:ascii="Times New Roman" w:cs="Times New Roman" w:eastAsia="Times New Roman" w:hAnsi="Times New Roman"/>
          <w:sz w:val="18"/>
          <w:szCs w:val="18"/>
          <w:i w:val="1"/>
          <w:iCs w:val="1"/>
          <w:color w:val="auto"/>
        </w:rPr>
        <w:t xml:space="preserve"> Journal of Muscle and Nerve </w:t>
      </w:r>
      <w:r>
        <w:rPr>
          <w:rFonts w:ascii="Times New Roman" w:cs="Times New Roman" w:eastAsia="Times New Roman" w:hAnsi="Times New Roman"/>
          <w:sz w:val="18"/>
          <w:szCs w:val="18"/>
          <w:color w:val="auto"/>
        </w:rPr>
        <w:t>in October 2020. The EMA granted orphan designation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AMX0035 for the treatment of patients with ALS in April 2020. We submitted a New Drug Submission, or NDS, in Canada in the second quarter of 2021, a New Drug Application, or NDA, in the U.S. in the fourth quarter of 2021 and a MAA in Europe in the first quarter of 2022.</w:t>
      </w:r>
    </w:p>
    <w:p>
      <w:pPr>
        <w:spacing w:after="0" w:line="187" w:lineRule="exact"/>
        <w:rPr>
          <w:sz w:val="20"/>
          <w:szCs w:val="20"/>
          <w:color w:val="auto"/>
        </w:rPr>
      </w:pPr>
    </w:p>
    <w:p>
      <w:pPr>
        <w:ind w:right="180" w:firstLine="749"/>
        <w:spacing w:after="0" w:line="265" w:lineRule="auto"/>
        <w:rPr>
          <w:sz w:val="20"/>
          <w:szCs w:val="20"/>
          <w:color w:val="auto"/>
        </w:rPr>
      </w:pPr>
      <w:r>
        <w:rPr>
          <w:rFonts w:ascii="Times New Roman" w:cs="Times New Roman" w:eastAsia="Times New Roman" w:hAnsi="Times New Roman"/>
          <w:sz w:val="18"/>
          <w:szCs w:val="18"/>
          <w:color w:val="auto"/>
        </w:rPr>
        <w:t>In June 2022, AMX0035 received marketing authorization with conditions as ALBRIOZA by Health Canada for the treatment of ALS, and we launched ALBRIOZA commercially in Canada in July 2022. In September 2022, AMX0035 received approval as RELYVRIO by the FDA for the treatment of ALS in adults, and we launched RELYVRIO commercially in the U.S. in October 2022.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1" w:name="page12"/>
    <w:bookmarkEnd w:id="11"/>
    <w:p>
      <w:pPr>
        <w:ind w:firstLine="749"/>
        <w:spacing w:after="0" w:line="258" w:lineRule="auto"/>
        <w:rPr>
          <w:sz w:val="20"/>
          <w:szCs w:val="20"/>
          <w:color w:val="auto"/>
        </w:rPr>
      </w:pPr>
      <w:r>
        <w:rPr>
          <w:rFonts w:ascii="Times New Roman" w:cs="Times New Roman" w:eastAsia="Times New Roman" w:hAnsi="Times New Roman"/>
          <w:sz w:val="18"/>
          <w:szCs w:val="18"/>
          <w:color w:val="auto"/>
        </w:rPr>
        <w:t>In October 2023, the Committee for Medicinal Products for Human Use, or CHMP, of the EMA confirmed its initial negative opinion on the MAA for AMX0035, for the treatment of adults with ALS in the EU. The decision followed the conclusion of the CHMP’s formal re-examination procedure of an initial negative opinion adopted in June 2023. In January 2024, the European Commission confirmed the adoption of the CHMP’s negative opinion. We continue to focus on the completion of the global PHOENIX Phase 3 clinical trial of AMX0035 for the treatment of ALS, which was initiated prior to our MAA submission in November 2021. If PHOENIX is supportive, we plan to seek approval in the EU again as quickly as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CENTAUR, Our Phase 2 Trial of AMX0035 in ALS</w:t>
      </w:r>
    </w:p>
    <w:p>
      <w:pPr>
        <w:spacing w:after="0" w:line="22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September and October 2020, we published detailed results from the Phase 2, randomized, double-blind, placebo-controlled CENTAUR trial. The CENTAUR trial was conducted at 25 NEALS centers and evaluated adult patients with ALS. Key inclusion criteria were definite ALS defined by the revised El Escorial criteria, which entails having various clinical signs and symptoms, defined as upper and lower motor neuron signs, in at least three defined body regions, less than 18 months from symptom onset and slow vital capacity, or SVC, greater than 60%. These criteria were chosen to select a homogenous, rapidly progressing patient population to potentially increase the likelihood of observing a treatment effect. Participants were allowed to continue on their selected standard of care, including treatment with riluzole and/or edaravone. Eligible participants (n=137) were randomized two-to-one to treatment with AMX0035, one sachet (each containing one gram of TURSO and three grams of PB) given once daily for the first three weeks, and if tolerated, the dose was then increased to twice-daily for the remainder of a 24 week treatment period, or matching placebo. Two participants did not have follow-up efficacy assessments and were not included in the efficacy population (modified intention to treat, or mITT, n=135). These two participants were included in the safety population (intention to treat, or ITT, n=137). Upon completion of the 24-week, parallel group phase of the trial, participants were eligible to enroll in the Open Label Extension, or OLE, trial in which all participants were followed up to 35 months while participants and physicians remained blinded to the original treatment group. Of participants completing the CENTAUR trial randomization phase, 92% elected to enroll in the OLE. The</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first protocol of the OLE was completed in March 2021. Actual duration of patient treatments across the randomization phase and the OLE, both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PB-TURSO combination and via placebo, are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142240</wp:posOffset>
            </wp:positionV>
            <wp:extent cx="4906010" cy="4426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06010" cy="442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primary efficacy outcome measure for the CENTAUR trial was the rate of decline in the ALSFRS-R total score. The ALSFRS-R scale is the most widely used ALS rating scale in ALS clinical practice and in ALS clinical trials. It measures patients' functional ability and is broken down into four domains: bulbar (which includes speech, salivation and swallowing), fine motor (which includes handwriting, cutting food/handling utensils, dressing and hygiene), gross motor (which includes turning in bed, walking, and climbing stairs) and breathing (which includes dyspnea, orthopnea and respiratory insufficiency). A decrease of one point on the ALSFRS-R scale can reflect severe limitations in a patient’s independence, and a two-point increase on the ALSFRS-R scale would be associated with:</w:t>
      </w:r>
    </w:p>
    <w:p>
      <w:pPr>
        <w:spacing w:after="0" w:line="78" w:lineRule="exact"/>
        <w:rPr>
          <w:sz w:val="20"/>
          <w:szCs w:val="20"/>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eating successfully with some difficulty instead of needing a feeding tube;</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short of breath only while walking instead of having difficulty breathing while sitting or lying down; and</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able to dress independently instead of needing assistance.</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CENTAUR trial met its primary endpoint with a statistically significant reduction in clinical decline among participants randomized to AMX0035 (n=87) compared to placebo (n=48) (p-value of 0.03) over 24 weeks. These results showed that patients receiving AMX0035 scored an average of 2.32 points higher on the ALSFRS-R as compared to patients receiving placebo after 24 weeks, a difference of 25%, as shown in the graph below. In a survey of ALS clinicians and researchers conducted and sponsored by NEALS, with the objective of determining what percentage reduction in ALSFRS-R would be considered clinically meaningful, a difference of greater than or equal to 20% in ALSFRS-R total score was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3" w:name="page14"/>
    <w:bookmarkEnd w:id="13"/>
    <w:p>
      <w:pPr>
        <w:ind w:right="20"/>
        <w:spacing w:after="0" w:line="281" w:lineRule="auto"/>
        <w:rPr>
          <w:sz w:val="20"/>
          <w:szCs w:val="20"/>
          <w:color w:val="auto"/>
        </w:rPr>
      </w:pPr>
      <w:r>
        <w:rPr>
          <w:rFonts w:ascii="Times New Roman" w:cs="Times New Roman" w:eastAsia="Times New Roman" w:hAnsi="Times New Roman"/>
          <w:sz w:val="18"/>
          <w:szCs w:val="18"/>
          <w:color w:val="auto"/>
        </w:rPr>
        <w:t>considered clinically meaningful by a majority of clinicians and researchers surveyed. More recent publications by ALS experts have shared the viewpoint that a single point difference can be considered clinically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114935</wp:posOffset>
            </wp:positionV>
            <wp:extent cx="4349750" cy="3313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9750" cy="331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980" w:hanging="91"/>
        <w:spacing w:after="0"/>
        <w:tabs>
          <w:tab w:leader="none" w:pos="19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Two participants did not have follow-up efficacy assessments and were not included in the efficacy population (modified intention to treat n=135).</w:t>
      </w:r>
    </w:p>
    <w:p>
      <w:pPr>
        <w:spacing w:after="0" w:line="1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Secondary efficacy outcomes measuring disease free progression were the decline in muscle strength as measured by Accurate Test of Limb Isometric Strength, or ATLIS, testing and lung function measured by SVC, both expressed as percent of predicted values and key study events including death, permanent ventilation and hospitalization. Neurofilament was also measured as a biologic measure. The analysis also indicated statistically significant preservation of upper limb strength with AMX0035 treatment measured on ATLIS (p=0.042), while the lower limb measure did not reach statistical significance (p=0.34). An average of these two, referred to as the total ATLIS score, trended in favor of AMX0035 (p=0.11). There was also a trend in favor of AMX0035 therapy preserving lung function as measured by SVC, with a numerical difference of 5.11% although this was not statistically significant (p=0.076). These efficacy data are summarized in the table below. In addition, a time-to-event analysis was conducted on key study events including death, permanent ventilation and hospitalization events over the 24-week randomized phase of the trial. Because enrollment of patients in the CENTAUR trial was limited to patients who, in the investigator’s opinion, would be able to complete a 6-month follow up, few events of this nature were expected during the initial, 24-week randomized phase of the trial. As a result, we observed a positive, but not statistically significant, difference between the trial’s treatment and control groups during the 24-week randomized phase of</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8" w:right="419" w:bottom="1440" w:gutter="0" w:footer="0" w:header="0"/>
        </w:sectPr>
      </w:pPr>
    </w:p>
    <w:bookmarkStart w:id="14" w:name="page15"/>
    <w:bookmarkEnd w:id="14"/>
    <w:p>
      <w:pPr>
        <w:ind w:right="20"/>
        <w:spacing w:after="0" w:line="281" w:lineRule="auto"/>
        <w:rPr>
          <w:sz w:val="20"/>
          <w:szCs w:val="20"/>
          <w:color w:val="auto"/>
        </w:rPr>
      </w:pPr>
      <w:r>
        <w:rPr>
          <w:rFonts w:ascii="Times New Roman" w:cs="Times New Roman" w:eastAsia="Times New Roman" w:hAnsi="Times New Roman"/>
          <w:sz w:val="18"/>
          <w:szCs w:val="18"/>
          <w:color w:val="auto"/>
        </w:rPr>
        <w:t>the study. There was no statistically significant difference between the rate of decline in plasma levels of the neurofilament observed in the trial’s treatment and control groups during the 24-week randomized phase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114935</wp:posOffset>
            </wp:positionV>
            <wp:extent cx="5291455" cy="2397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91455" cy="239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Phosphorylated neurofilament heavy chain was measured in plasma in the CENTAUR trial. There were no statistically significant differences between groups in this outcome. A limitation of this outcome is that it was measured in plasma rather than cerebrospinal fluid and the ultimate relevance of this outcome in ALS is still under investigation by the field.</w:t>
      </w:r>
    </w:p>
    <w:p>
      <w:pPr>
        <w:spacing w:after="0" w:line="177"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It is important to note that most (77%) participants were receiving riluzole or edaravone at or before study entry, with a greater proportion receiving edaravone in the placebo group (50%) compared with the AMX0035 group (25%). Pre-specified analyses were conducted to determine if the use of concomitant medications impacted results. These analyses found that AMX0035’s effect on the primary outcome was consistent regardless of baseline use of concomitant medications (riluzole and/or edaravone).</w:t>
      </w:r>
    </w:p>
    <w:p>
      <w:pPr>
        <w:spacing w:after="0" w:line="18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Overall survival, or OS, was analyzed for all subjects randomized in the CENTAUR trial (ITT analysis) and compared patients originally randomized to AMX0035 (n=89) with those randomized to placebo (n=48). In this post hoc analysis, the vital status of each participant was measured by a participant locating service which used sources such as the U.S. social security death index up to March 1, 2021 even if he or she did not continue into the OLE, stopped study drug, dropped out of the study or was lost to follow-up. Over the duration of follow up, the risk of death was 36% lower among those originally randomized to AMX0035 compared with those originally randomized to placebo (hazard ratio, or HR, of 0.64; a 95% confidence interval, or CI, ranging from 0.42 to 1.00; and a p-value of 0.048). Median survival duration was 23.5</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5" w:name="page16"/>
    <w:bookmarkEnd w:id="15"/>
    <w:p>
      <w:pPr>
        <w:ind w:right="640"/>
        <w:spacing w:after="0" w:line="281" w:lineRule="auto"/>
        <w:rPr>
          <w:sz w:val="20"/>
          <w:szCs w:val="20"/>
          <w:color w:val="auto"/>
        </w:rPr>
      </w:pPr>
      <w:r>
        <w:rPr>
          <w:rFonts w:ascii="Times New Roman" w:cs="Times New Roman" w:eastAsia="Times New Roman" w:hAnsi="Times New Roman"/>
          <w:sz w:val="18"/>
          <w:szCs w:val="18"/>
          <w:color w:val="auto"/>
        </w:rPr>
        <w:t>months (IQR of 14.6 to 39.3 months) in the group previously randomized to AMX0035 and 18.7 months (IQR of 11.7 to 31.3 months) in the group previously randomized to placebo as seen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114935</wp:posOffset>
            </wp:positionV>
            <wp:extent cx="3493770" cy="3185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93770" cy="318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also conducted three additional post hoc analyses of AMX0035 survival data and one additional post hoc biomarker analysis. These analyses consisted of the following: an analysis utilizing a statistical method, known as the rank-preserving structural failure time model (RPSFTM), to adjust for the effect of treatment crossover; an analysis comparing observed survival in the CENTAUR trial to predicted survival using the European Network for the Cure of ALS survival prediction model derived from an ALS natural history database; an analysis comparing observed survival from the CENTAUR treatment group to survival of matched treatment naïve participants from historical clinical trials of ALS; and finally an analysis performed on neuroinflammatory biomarkers using plasma samples from participants in CENTAUR.</w:t>
      </w:r>
    </w:p>
    <w:p>
      <w:pPr>
        <w:spacing w:after="0" w:line="186"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In May 2022, the post hoc analysis using RPSFTM, a method frequently employed in oncology to account for placebo crossover, estimated a 9.7-month longer median survival duration for participants originally randomized to AMX0035 than participants originally randomized to placebo. In addition, participants randomized to receive AMX0035 and who continued into the OLE phase showed an 15-month longer median survival duration than participants who never received AMX0035 in a subgroup analysis.</w:t>
      </w:r>
    </w:p>
    <w:p>
      <w:pPr>
        <w:spacing w:after="0" w:line="18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European Network to Cure ALS, or ENCALS, has collected data on more than 10,000 people living with ALS and used this data to create a prognostic model based on baseline factors to predict patient survival time. Amylyx collaborated with the originators of this model to predict treatment naïve overall survival time for each individual participant in CENTAUR. The predicted (treatment naïve) survival data generated using this model were compared against the actual observed survival data in the CENTUR study. In this post hoc analysis, participants randomized to AMX0035 had a 9.9-month longer median survival compared to the prediction arm.</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post hoc analyses comparing the long term survival of participants in the CENTAUR study versus a propensity score-matched, AMX0035 naïve propensity score-matched, AMX0035 were published in the peer-reviewed medical journal, </w:t>
      </w:r>
      <w:r>
        <w:rPr>
          <w:rFonts w:ascii="Times New Roman" w:cs="Times New Roman" w:eastAsia="Times New Roman" w:hAnsi="Times New Roman"/>
          <w:sz w:val="18"/>
          <w:szCs w:val="18"/>
          <w:i w:val="1"/>
          <w:iCs w:val="1"/>
          <w:color w:val="auto"/>
        </w:rPr>
        <w:t>Annals of Clinical and Translational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Neurology</w:t>
      </w:r>
      <w:r>
        <w:rPr>
          <w:rFonts w:ascii="Times New Roman" w:cs="Times New Roman" w:eastAsia="Times New Roman" w:hAnsi="Times New Roman"/>
          <w:sz w:val="18"/>
          <w:szCs w:val="18"/>
          <w:color w:val="auto"/>
        </w:rPr>
        <w:t>. In this analysis, we observed a median overall survival of 10.4 months longer in the AMX0035 group. Participants treated with AMX0035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start of the clinical trial, which means that they both started AMX0035 six months earlier and were on it for longer than participants starting on placebo, saw a greater survival benefit.</w:t>
      </w:r>
    </w:p>
    <w:p>
      <w:pPr>
        <w:spacing w:after="0" w:line="182"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 xml:space="preserve">In December of 2023, post hoc analyses performed on neuroinflammatory biomarkers using plasma samples from CENTAUR trial participants were published in </w:t>
      </w:r>
      <w:r>
        <w:rPr>
          <w:rFonts w:ascii="Times New Roman" w:cs="Times New Roman" w:eastAsia="Times New Roman" w:hAnsi="Times New Roman"/>
          <w:sz w:val="18"/>
          <w:szCs w:val="18"/>
          <w:i w:val="1"/>
          <w:iCs w:val="1"/>
          <w:color w:val="auto"/>
        </w:rPr>
        <w:t>Journal of Neurology, Neurosurgery and Psychiatry</w:t>
      </w:r>
      <w:r>
        <w:rPr>
          <w:rFonts w:ascii="Times New Roman" w:cs="Times New Roman" w:eastAsia="Times New Roman" w:hAnsi="Times New Roman"/>
          <w:sz w:val="18"/>
          <w:szCs w:val="18"/>
          <w:color w:val="auto"/>
        </w:rPr>
        <w:t>. The results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6" w:name="page17"/>
    <w:bookmarkEnd w:id="16"/>
    <w:p>
      <w:pPr>
        <w:ind w:right="200"/>
        <w:spacing w:after="0" w:line="265" w:lineRule="auto"/>
        <w:rPr>
          <w:sz w:val="20"/>
          <w:szCs w:val="20"/>
          <w:color w:val="auto"/>
        </w:rPr>
      </w:pPr>
      <w:r>
        <w:rPr>
          <w:rFonts w:ascii="Times New Roman" w:cs="Times New Roman" w:eastAsia="Times New Roman" w:hAnsi="Times New Roman"/>
          <w:sz w:val="18"/>
          <w:szCs w:val="18"/>
          <w:color w:val="auto"/>
        </w:rPr>
        <w:t>demonstrated a significant reduction in plasma concentrations of YKL-40 (also known as chitinase-3-like protein 1) and the systemic inflammatory biomarker C-reactive protein (CRP), two plasma neuroinflammatory biomarkers in ALS, over 24 weeks, with reductions observed as early as Week 12 in participants from the CENTAUR trial.</w:t>
      </w:r>
    </w:p>
    <w:p>
      <w:pPr>
        <w:spacing w:after="0" w:line="177"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7"/>
          <w:szCs w:val="17"/>
          <w:color w:val="auto"/>
        </w:rPr>
        <w:t>We also performed sensitivity analyses on the CENTAUR trial data, including a joint rank test, which showed no bias in the estimate of the primary functional outcome by loss of data due to participant death. Sensitivity analyses were also performed to account for missing data and death or death-equivalent events. These sensitivity analyses yielded results similar to the primary analysis. In sensitivity analyses designed to account for concomitant medication use, the treatment effect size was consistent between primary analysis and analyses corrected for concomitant medication use.</w:t>
      </w:r>
    </w:p>
    <w:p>
      <w:pPr>
        <w:spacing w:after="0" w:line="166"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7"/>
          <w:szCs w:val="17"/>
          <w:color w:val="auto"/>
        </w:rPr>
        <w:t>AMX0035 was generally well-tolerated with an adverse event rate substantially similar to placebo. Adverse events, or AEs, were reported in 97% (86 out of 89) of participants receiving AMX0035 and 96% (46 out of 48) of participants receiving placebo, with the nature of the AEs being substantially similar in both groups. The most commonly occurring (greater than or equal to 5%) AEs in either treatment group are shown in the table below. Because of the progressive neurodegenerative nature of ALS, many of these AEs (e.g., muscle weakness, falls, dyspnea, fatigue) were likely attributable to the underlying ALS disease. Events occurring in greater than or equal to 5% of patients in either treatment group and more frequently (greater than or equal to 2% of patients) in patients who received AMX0035 compared with those who received placebo were predominantly gastrointestinal events, which were non-serious and mostly mild in intensity and declined considerably in occurrence after three weeks on treatment. A total of 19% of the patients in the AMX0035 treatment group and 8% of the patients in the placebo group discontinued their participation in the trial due to AEs.</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most commonly occurring AEs were diarrhea, abdominal pain, nausea, upper respiratory tract infection, constipation, muscular weakness, fall, headache, dizziness and viral upper respiratory tract infection. Health Canada also noted the occurrence of hypersalivation. Consistent with the known safety profile of TURSO, diarrhea and nausea occurred more frequently in patients who received AMX0035 compared with those who received placebo. In contrast, muscular weakness, fall, constipation and headache occurred more frequently in patients who received placebo. The observed AEs from the CENTAUR trial are summarized in the chart below.</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Adverse Events (AEs)</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Occurring in ≥5% of Patients in either Treatment Group</w:t>
      </w:r>
    </w:p>
    <w:p>
      <w:pPr>
        <w:jc w:val="center"/>
        <w:spacing w:after="0"/>
        <w:rPr>
          <w:sz w:val="20"/>
          <w:szCs w:val="20"/>
          <w:color w:val="auto"/>
        </w:rPr>
      </w:pPr>
      <w:r>
        <w:rPr>
          <w:rFonts w:ascii="Times New Roman" w:cs="Times New Roman" w:eastAsia="Times New Roman" w:hAnsi="Times New Roman"/>
          <w:sz w:val="14"/>
          <w:szCs w:val="14"/>
          <w:b w:val="1"/>
          <w:bCs w:val="1"/>
          <w:color w:val="auto"/>
        </w:rPr>
        <w:t>(Safety Population, n=137)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6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MedDRA System Organ Class Preferred Term</w:t>
            </w:r>
          </w:p>
        </w:tc>
        <w:tc>
          <w:tcPr>
            <w:tcW w:w="1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Placebo + SOC</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AMX0035 + SOC</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408"/>
              <w:spacing w:after="0" w:line="131" w:lineRule="exact"/>
              <w:rPr>
                <w:sz w:val="20"/>
                <w:szCs w:val="20"/>
                <w:color w:val="auto"/>
              </w:rPr>
            </w:pPr>
            <w:r>
              <w:rPr>
                <w:rFonts w:ascii="Times New Roman" w:cs="Times New Roman" w:eastAsia="Times New Roman" w:hAnsi="Times New Roman"/>
                <w:sz w:val="14"/>
                <w:szCs w:val="14"/>
                <w:b w:val="1"/>
                <w:bCs w:val="1"/>
                <w:color w:val="auto"/>
              </w:rPr>
              <w:t>Overall</w:t>
            </w: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gridSpan w:val="3"/>
            <w:vMerge w:val="continue"/>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(n=48)</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(n=89)</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(n=137)</w:t>
            </w:r>
          </w:p>
        </w:tc>
        <w:tc>
          <w:tcPr>
            <w:tcW w:w="0" w:type="dxa"/>
            <w:vAlign w:val="bottom"/>
          </w:tcPr>
          <w:p>
            <w:pPr>
              <w:spacing w:after="0"/>
              <w:rPr>
                <w:sz w:val="1"/>
                <w:szCs w:val="1"/>
                <w:color w:val="auto"/>
              </w:rPr>
            </w:pPr>
          </w:p>
        </w:tc>
      </w:tr>
      <w:tr>
        <w:trPr>
          <w:trHeight w:val="236"/>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Gastrointestinal disorders</w:t>
            </w:r>
          </w:p>
        </w:tc>
        <w:tc>
          <w:tcPr>
            <w:tcW w:w="2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(67.4%)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(65.0%)</w:t>
            </w:r>
          </w:p>
        </w:tc>
        <w:tc>
          <w:tcPr>
            <w:tcW w:w="0" w:type="dxa"/>
            <w:vAlign w:val="bottom"/>
          </w:tcPr>
          <w:p>
            <w:pPr>
              <w:spacing w:after="0"/>
              <w:rPr>
                <w:sz w:val="1"/>
                <w:szCs w:val="1"/>
                <w:color w:val="auto"/>
              </w:rPr>
            </w:pPr>
          </w:p>
        </w:tc>
      </w:tr>
      <w:tr>
        <w:trPr>
          <w:trHeight w:val="23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Musculoskeletal and connective tissue disorders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(42.7%)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(43.1%)</w:t>
            </w:r>
          </w:p>
        </w:tc>
        <w:tc>
          <w:tcPr>
            <w:tcW w:w="0" w:type="dxa"/>
            <w:vAlign w:val="bottom"/>
          </w:tcPr>
          <w:p>
            <w:pPr>
              <w:spacing w:after="0"/>
              <w:rPr>
                <w:sz w:val="1"/>
                <w:szCs w:val="1"/>
                <w:color w:val="auto"/>
              </w:rPr>
            </w:pPr>
          </w:p>
        </w:tc>
      </w:tr>
      <w:tr>
        <w:trPr>
          <w:trHeight w:val="247"/>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2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(39.3%)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(42.3%)</w:t>
            </w:r>
          </w:p>
        </w:tc>
        <w:tc>
          <w:tcPr>
            <w:tcW w:w="0" w:type="dxa"/>
            <w:vAlign w:val="bottom"/>
          </w:tcPr>
          <w:p>
            <w:pPr>
              <w:spacing w:after="0"/>
              <w:rPr>
                <w:sz w:val="1"/>
                <w:szCs w:val="1"/>
                <w:color w:val="auto"/>
              </w:rPr>
            </w:pPr>
          </w:p>
        </w:tc>
      </w:tr>
      <w:tr>
        <w:trPr>
          <w:trHeight w:val="23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Nervous system disorders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(37.1%)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(38.0%)</w:t>
            </w:r>
          </w:p>
        </w:tc>
        <w:tc>
          <w:tcPr>
            <w:tcW w:w="0" w:type="dxa"/>
            <w:vAlign w:val="bottom"/>
          </w:tcPr>
          <w:p>
            <w:pPr>
              <w:spacing w:after="0"/>
              <w:rPr>
                <w:sz w:val="1"/>
                <w:szCs w:val="1"/>
                <w:color w:val="auto"/>
              </w:rPr>
            </w:pPr>
          </w:p>
        </w:tc>
      </w:tr>
      <w:tr>
        <w:trPr>
          <w:trHeight w:val="247"/>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2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(31.5%)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(35.8%)</w:t>
            </w:r>
          </w:p>
        </w:tc>
        <w:tc>
          <w:tcPr>
            <w:tcW w:w="0" w:type="dxa"/>
            <w:vAlign w:val="bottom"/>
          </w:tcPr>
          <w:p>
            <w:pPr>
              <w:spacing w:after="0"/>
              <w:rPr>
                <w:sz w:val="1"/>
                <w:szCs w:val="1"/>
                <w:color w:val="auto"/>
              </w:rPr>
            </w:pPr>
          </w:p>
        </w:tc>
      </w:tr>
      <w:tr>
        <w:trPr>
          <w:trHeight w:val="23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Respiratory, thoracic and mediastinal disorders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(32.6%)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(28.5%)</w:t>
            </w:r>
          </w:p>
        </w:tc>
        <w:tc>
          <w:tcPr>
            <w:tcW w:w="0" w:type="dxa"/>
            <w:vAlign w:val="bottom"/>
          </w:tcPr>
          <w:p>
            <w:pPr>
              <w:spacing w:after="0"/>
              <w:rPr>
                <w:sz w:val="1"/>
                <w:szCs w:val="1"/>
                <w:color w:val="auto"/>
              </w:rPr>
            </w:pPr>
          </w:p>
        </w:tc>
      </w:tr>
      <w:tr>
        <w:trPr>
          <w:trHeight w:val="247"/>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Investigations</w:t>
            </w:r>
          </w:p>
        </w:tc>
        <w:tc>
          <w:tcPr>
            <w:tcW w:w="2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(29.2%)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(26.3%)</w:t>
            </w:r>
          </w:p>
        </w:tc>
        <w:tc>
          <w:tcPr>
            <w:tcW w:w="0" w:type="dxa"/>
            <w:vAlign w:val="bottom"/>
          </w:tcPr>
          <w:p>
            <w:pPr>
              <w:spacing w:after="0"/>
              <w:rPr>
                <w:sz w:val="1"/>
                <w:szCs w:val="1"/>
                <w:color w:val="auto"/>
              </w:rPr>
            </w:pPr>
          </w:p>
        </w:tc>
      </w:tr>
      <w:tr>
        <w:trPr>
          <w:trHeight w:val="23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site conditions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(22.5%)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(24.1%)</w:t>
            </w:r>
          </w:p>
        </w:tc>
        <w:tc>
          <w:tcPr>
            <w:tcW w:w="0" w:type="dxa"/>
            <w:vAlign w:val="bottom"/>
          </w:tcPr>
          <w:p>
            <w:pPr>
              <w:spacing w:after="0"/>
              <w:rPr>
                <w:sz w:val="1"/>
                <w:szCs w:val="1"/>
                <w:color w:val="auto"/>
              </w:rPr>
            </w:pPr>
          </w:p>
        </w:tc>
      </w:tr>
      <w:tr>
        <w:trPr>
          <w:trHeight w:val="247"/>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2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(18.0%)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(17.5%)</w:t>
            </w:r>
          </w:p>
        </w:tc>
        <w:tc>
          <w:tcPr>
            <w:tcW w:w="0" w:type="dxa"/>
            <w:vAlign w:val="bottom"/>
          </w:tcPr>
          <w:p>
            <w:pPr>
              <w:spacing w:after="0"/>
              <w:rPr>
                <w:sz w:val="1"/>
                <w:szCs w:val="1"/>
                <w:color w:val="auto"/>
              </w:rPr>
            </w:pPr>
          </w:p>
        </w:tc>
      </w:tr>
      <w:tr>
        <w:trPr>
          <w:trHeight w:val="23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Psychiatric disorders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(15.7%)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(16.8%)</w:t>
            </w:r>
          </w:p>
        </w:tc>
        <w:tc>
          <w:tcPr>
            <w:tcW w:w="0" w:type="dxa"/>
            <w:vAlign w:val="bottom"/>
          </w:tcPr>
          <w:p>
            <w:pPr>
              <w:spacing w:after="0"/>
              <w:rPr>
                <w:sz w:val="1"/>
                <w:szCs w:val="1"/>
                <w:color w:val="auto"/>
              </w:rPr>
            </w:pPr>
          </w:p>
        </w:tc>
      </w:tr>
      <w:tr>
        <w:trPr>
          <w:trHeight w:val="247"/>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Renal and urinary disorders</w:t>
            </w:r>
          </w:p>
        </w:tc>
        <w:tc>
          <w:tcPr>
            <w:tcW w:w="2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(11.2%)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(13.1%)</w:t>
            </w:r>
          </w:p>
        </w:tc>
        <w:tc>
          <w:tcPr>
            <w:tcW w:w="0" w:type="dxa"/>
            <w:vAlign w:val="bottom"/>
          </w:tcPr>
          <w:p>
            <w:pPr>
              <w:spacing w:after="0"/>
              <w:rPr>
                <w:sz w:val="1"/>
                <w:szCs w:val="1"/>
                <w:color w:val="auto"/>
              </w:rPr>
            </w:pPr>
          </w:p>
        </w:tc>
      </w:tr>
      <w:tr>
        <w:trPr>
          <w:trHeight w:val="238"/>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Metabolism and nutrition disorders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 (8.3%)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(11.2%)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(10.2%)</w:t>
            </w:r>
          </w:p>
        </w:tc>
        <w:tc>
          <w:tcPr>
            <w:tcW w:w="0" w:type="dxa"/>
            <w:vAlign w:val="bottom"/>
          </w:tcPr>
          <w:p>
            <w:pPr>
              <w:spacing w:after="0"/>
              <w:rPr>
                <w:sz w:val="1"/>
                <w:szCs w:val="1"/>
                <w:color w:val="auto"/>
              </w:rPr>
            </w:pPr>
          </w:p>
        </w:tc>
      </w:tr>
      <w:tr>
        <w:trPr>
          <w:trHeight w:val="247"/>
        </w:trPr>
        <w:tc>
          <w:tcPr>
            <w:tcW w:w="4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Cardiac disorders</w:t>
            </w:r>
          </w:p>
        </w:tc>
        <w:tc>
          <w:tcPr>
            <w:tcW w:w="1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0 (0.0%)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(7.9%)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(5.1%)</w:t>
            </w:r>
          </w:p>
        </w:tc>
        <w:tc>
          <w:tcPr>
            <w:tcW w:w="0" w:type="dxa"/>
            <w:vAlign w:val="bottom"/>
          </w:tcPr>
          <w:p>
            <w:pPr>
              <w:spacing w:after="0"/>
              <w:rPr>
                <w:sz w:val="1"/>
                <w:szCs w:val="1"/>
                <w:color w:val="auto"/>
              </w:rPr>
            </w:pPr>
          </w:p>
        </w:tc>
      </w:tr>
      <w:tr>
        <w:trPr>
          <w:trHeight w:val="234"/>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Eye disorders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 (2.1%)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(5.6%)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(4.4%)</w:t>
            </w:r>
          </w:p>
        </w:tc>
        <w:tc>
          <w:tcPr>
            <w:tcW w:w="0" w:type="dxa"/>
            <w:vAlign w:val="bottom"/>
          </w:tcPr>
          <w:p>
            <w:pPr>
              <w:spacing w:after="0"/>
              <w:rPr>
                <w:sz w:val="1"/>
                <w:szCs w:val="1"/>
                <w:color w:val="auto"/>
              </w:rPr>
            </w:pPr>
          </w:p>
        </w:tc>
      </w:tr>
      <w:tr>
        <w:trPr>
          <w:trHeight w:val="143"/>
        </w:trPr>
        <w:tc>
          <w:tcPr>
            <w:tcW w:w="4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Includes serious adverse events.</w:t>
            </w: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7" w:name="page18"/>
    <w:bookmarkEnd w:id="17"/>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Serious adverse events, or SAEs, occurred nominally less frequently in the AMX0035 treatment group (12.4% of patients) compared with the placebo treatment group (18.8% of patients). This difference was largely driven by a higher incidence of respiratory events, including respiratory failure in the placebo treatment group (8.3% of patients), compared with the AMX0035 treatment group (3.4% of patients). ALS disease progression often leads to respiratory failure, and it is the most common cause of death in patients with ALS. The observed SAEs from the CENTAUR trial are summarized in the chart below.</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Serious Adverse Events (SAEs)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156845</wp:posOffset>
            </wp:positionV>
            <wp:extent cx="4777740" cy="1626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77740" cy="162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Overall, a total of seven patients, two (4% of patients) who received placebo and five (6% of total patients) who received AMX0035), died during the conduct of the 24-week, double-blind study. None of the deaths was considered by the investigator to be related to AMX0035. Consistent with the most common cause of death in patients with ALS, the majority (four of seven patients) of deaths during the study were from respiratory failure (two patients in each group). Other causes of death (in the AMX0035 group) included post-extubational supraglottic and infraglottic aspiration (attributed to aspiration pneumonia), diverticulitis, and subdural hematoma secondary to a fall. Death equivalent was defined as either tracheostomy or permanent assisted ventilation, or PAV. PAV was defined as more than 22 hours daily of non-invasive mechanical ventilation for more than one week (seven days). One patient in the placebo group (2% of patients) and none in the AMX0035 group experienced a death equivalent event (i.e., tracheostomy/PAV) during the 24-week study.</w:t>
      </w:r>
    </w:p>
    <w:p>
      <w:pPr>
        <w:spacing w:after="0" w:line="189"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In March 2022, we announced the launch of a U.S. EAP that the FDA authorized for people with ALS who meet certain eligibility criteria for participation. The EAP was discontinued alongside the commercial launch of RELYVRIO in the U.S.</w:t>
      </w:r>
    </w:p>
    <w:p>
      <w:pPr>
        <w:spacing w:after="0" w:line="163"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We believe AMX0035 is the first drug candidate in ALS to demonstrate a statistically significant benefit both in function as measured by a prespecified mean rate change in ALSFRS-R and in a longer-term analysis of OS, both important outcomes for people with ALS. In summary, patients in our CENTAUR trial showed a statistically significant improvement in function and a statistically significant improvement in overall survival and AMX0035 was shown to be generally well-tolerated.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 of AMX0035 in ALS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global PHOENIX Phase 3 clinical trial of AMX0035 for the treatment of ALS, a 48-week, randomized, double-blind, placebo-controlled trial at clinical sites in the U.S. and Europe, is designed to provide further data evaluating the safety and efficacy of AMX0035 for the treatment of ALS. Enrollment in this trial was completed in March 2022 in the U.S. and in February 2023 in Europe. We announced the completion of enrollment in the PHOENIX trial, which enrolled 664 participants, in February 2023. We expect to report topline results from the PHOENIX trial during or before the second quarter of 2024.</w:t>
      </w:r>
    </w:p>
    <w:p>
      <w:pPr>
        <w:spacing w:after="0" w:line="18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primary endpoints in our PHOENIX trial will be a composite measure of survival and ALSFRS-R total score progression over 48 weeks and safety and tolerability over 48 weeks. The secondary endpoints of our PHOENIX trial will be SVC, ALSAQ-40 (a questionnaire which provides a subjective health measure to specifically assess quality of life for patients with ALS), EQ5D-5L (a standard qualify of life measure), decline in King’s (a staging measurement in ALS based on the number of central nervous system, or CNS, regions involved and requirement for gastrostomy or noninvasive ventilation) and MiToS stages (a functional staging measure that can be derived prospectively from the ALSFRS-R subscore using standard methods), ventilation free survival, and long-term survival. Key inclusion criteria for the PHOENIX trial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8" w:name="page19"/>
    <w:bookmarkEnd w:id="18"/>
    <w:p>
      <w:pPr>
        <w:spacing w:after="0" w:line="281" w:lineRule="auto"/>
        <w:rPr>
          <w:sz w:val="20"/>
          <w:szCs w:val="20"/>
          <w:color w:val="auto"/>
        </w:rPr>
      </w:pPr>
      <w:r>
        <w:rPr>
          <w:rFonts w:ascii="Times New Roman" w:cs="Times New Roman" w:eastAsia="Times New Roman" w:hAnsi="Times New Roman"/>
          <w:sz w:val="18"/>
          <w:szCs w:val="18"/>
          <w:color w:val="auto"/>
        </w:rPr>
        <w:t>include ALS patients with clinically definite or clinically probable ALS by El Escorial criteria (2-4 body areas with clinical signs consistent with ALS), &lt;24 months from symptom onset, SVC &gt;55%, and riluzole/edaravone use permitted.</w:t>
      </w:r>
    </w:p>
    <w:p>
      <w:pPr>
        <w:spacing w:after="0" w:line="163"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European participants completing the 48-week trial had the option to enroll in an open label extension phase. During this phase, all participants received AMX0035, and continued safety and efficacy measures were assessed.</w:t>
      </w:r>
    </w:p>
    <w:p>
      <w:pPr>
        <w:spacing w:after="0" w:line="16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Because marketing approvals we have obtained to date may be limited, subject to restrictions or post-approval requirements, we may need to provide post-marketing support in those same jurisdictions. For example, as part of our approval for RELYVRIO in the U.S., we have post-marketing requirements to conduct carcinogenicity studies in mice and rats, drug-drug interaction studies, and studies in patients with kidney or liver impairment. In addition, one of the conditions of the marketing authorization in Canada for AMX0035 is the provision of data from our ongoing PHOENIX trial and other additional planned or ongoing studies. The outcomes of the PHOENIX trial could have a material effect on our business.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also have studies planned to further assess the safety and efficacy of AMX0035 in people living with ALS, including in real-world settings.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collaborative studies include a single center experience and a payer database observational study among others.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Commercialization of AMX0035 in ALS</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believe the global commercial opportunity for AMX0035 in ALS is driven by its being the first and only ALS therapy of which we are aware that helps to slow disease progression, maintains functional independence and extends overall survival in the same trial. AMX0035 is generally well-tolerated, with a manageable side effect profile and convenient oral administration. AMX0035 has been shown to have a significant impact on clinically meaningful endpoints, including reducing time to first hospitalization and permanent ventilation in ALS patients. From launch to December 31, 2023, we generated net product revenue from sales of AMX0035 of $403.0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AMX0035 for the Treatment of Other Potential Indications</w:t>
      </w:r>
    </w:p>
    <w:p>
      <w:pPr>
        <w:spacing w:after="0" w:line="229" w:lineRule="exact"/>
        <w:rPr>
          <w:sz w:val="20"/>
          <w:szCs w:val="20"/>
          <w:color w:val="auto"/>
        </w:rPr>
      </w:pPr>
    </w:p>
    <w:p>
      <w:pPr>
        <w:jc w:val="both"/>
        <w:ind w:right="200" w:firstLine="749"/>
        <w:spacing w:after="0" w:line="265" w:lineRule="auto"/>
        <w:rPr>
          <w:sz w:val="20"/>
          <w:szCs w:val="20"/>
          <w:color w:val="auto"/>
        </w:rPr>
      </w:pPr>
      <w:r>
        <w:rPr>
          <w:rFonts w:ascii="Times New Roman" w:cs="Times New Roman" w:eastAsia="Times New Roman" w:hAnsi="Times New Roman"/>
          <w:sz w:val="18"/>
          <w:szCs w:val="18"/>
          <w:color w:val="auto"/>
        </w:rPr>
        <w:t>Based on our extensive understanding of disease pathways, we believe AMX0035 may provide benefit across multiple diseases, including AD, WS, Parkinson’s Disease, Huntington’s Disease, PSP, Multi-System Atrophy, primary lateral sclerosis, ischemic stroke, MS, Friedreich’s ataxia, Leigh’s syndrome and Leber’s hereditary optic neuropathy.</w:t>
      </w:r>
    </w:p>
    <w:p>
      <w:pPr>
        <w:spacing w:after="0" w:line="17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prioritizing these conditions on an indication-by-indication basis, based on the strength of the data supporting AMX0035’s potential; the urgency of the unmet need; the practicality of conducting clinical trials in these conditions; the efficiency of clinical development activities; and the commercial potential. For some of these indications, given the data already produced by the company on AMX0035, we believe it may be possible to move directly into Phase 3 evaluations of safety and efficacy which could allow for a rapid development pathway. We will prioritize those indications which we believe have the greatest chance of providing patients with benefit and the most rapid pathway to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AMX0035 for Progressive Supranuclear Palsy</w:t>
      </w:r>
    </w:p>
    <w:p>
      <w:pPr>
        <w:spacing w:after="0" w:line="229" w:lineRule="exact"/>
        <w:rPr>
          <w:sz w:val="20"/>
          <w:szCs w:val="20"/>
          <w:color w:val="auto"/>
        </w:rPr>
      </w:pPr>
    </w:p>
    <w:p>
      <w:pPr>
        <w:ind w:right="420" w:firstLine="749"/>
        <w:spacing w:after="0" w:line="260" w:lineRule="auto"/>
        <w:rPr>
          <w:sz w:val="20"/>
          <w:szCs w:val="20"/>
          <w:color w:val="auto"/>
        </w:rPr>
      </w:pPr>
      <w:r>
        <w:rPr>
          <w:rFonts w:ascii="Times New Roman" w:cs="Times New Roman" w:eastAsia="Times New Roman" w:hAnsi="Times New Roman"/>
          <w:sz w:val="18"/>
          <w:szCs w:val="18"/>
          <w:color w:val="auto"/>
        </w:rPr>
        <w:t>We initiated the ORION trial, a global, pivotal Phase 3 trial of AMX0035 for the treatment of PSP in December 2023. ORION is a global, randomized, double-blind, placebo-controlled Phase 3 clinical trial designed to assess the efficacy and safety of AMX0035 compared to placebo. Approximately 600 participants will be enrolled in approximately 100 sites across the United States, Canada, the EU, the United Kingdom, and Japan, making what we expect to be this the largest PSP clinical trial to date.</w:t>
      </w:r>
    </w:p>
    <w:p>
      <w:pPr>
        <w:spacing w:after="0" w:line="182"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The primary efficacy endpoint will evaluate change in disease progression from baseline to Week 52 as measured by total score on the 28-item Progressive Supranuclear Palsy Rating Scale (PSPRS), an established and validated endpoint in PSP clinical trials.</w:t>
      </w:r>
    </w:p>
    <w:p>
      <w:pPr>
        <w:spacing w:after="0" w:line="163"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Secondary efficacy endpoints are disease progression as measured by a modified 10-item PSPRS score and motor aspects of activities of daily life as measured by the Movement Disorder Society-Unified Parkinson's Disease Rating Scale Part 2 (MDS-UPDRS Part II). Exploratory outcomes include changes in activities of daily living, cognitive function, quality of life, overall survival, brain regional volumes, fluid biomarkers of neuronal injury/inflammation, and caregiver burden.</w:t>
      </w:r>
    </w:p>
    <w:p>
      <w:pPr>
        <w:spacing w:after="0" w:line="182"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Safety and tolerability will be evaluated by assessing the frequency of treatment emergent adverse events (TEAEs) and serious adverse events (SAEs). Topline results are anticipated in either 2025 or 2026. Participants completing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9" w:name="page20"/>
    <w:bookmarkEnd w:id="19"/>
    <w:p>
      <w:pPr>
        <w:ind w:right="360"/>
        <w:spacing w:after="0" w:line="281" w:lineRule="auto"/>
        <w:rPr>
          <w:sz w:val="20"/>
          <w:szCs w:val="20"/>
          <w:color w:val="auto"/>
        </w:rPr>
      </w:pPr>
      <w:r>
        <w:rPr>
          <w:rFonts w:ascii="Times New Roman" w:cs="Times New Roman" w:eastAsia="Times New Roman" w:hAnsi="Times New Roman"/>
          <w:sz w:val="18"/>
          <w:szCs w:val="18"/>
          <w:color w:val="auto"/>
        </w:rPr>
        <w:t>52-week randomized, placebo-controlled phase of the trial will have the option to enroll in an Open Label Extension where all participants will receive AMX0035 for up to an additional year.</w:t>
      </w:r>
    </w:p>
    <w:p>
      <w:pPr>
        <w:spacing w:after="0" w:line="163"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ORION was designed and planned in collaboration with key global academic leaders, people living with PSP and their caregivers, and industry advocacy organizations.</w:t>
      </w:r>
    </w:p>
    <w:p>
      <w:pPr>
        <w:spacing w:after="0" w:line="163" w:lineRule="exact"/>
        <w:rPr>
          <w:sz w:val="20"/>
          <w:szCs w:val="20"/>
          <w:color w:val="auto"/>
        </w:rPr>
      </w:pPr>
    </w:p>
    <w:p>
      <w:pPr>
        <w:ind w:right="20" w:firstLine="749"/>
        <w:spacing w:after="0" w:line="288" w:lineRule="auto"/>
        <w:rPr>
          <w:sz w:val="20"/>
          <w:szCs w:val="20"/>
          <w:color w:val="auto"/>
        </w:rPr>
      </w:pPr>
      <w:r>
        <w:rPr>
          <w:rFonts w:ascii="Times New Roman" w:cs="Times New Roman" w:eastAsia="Times New Roman" w:hAnsi="Times New Roman"/>
          <w:sz w:val="17"/>
          <w:szCs w:val="17"/>
          <w:color w:val="auto"/>
        </w:rPr>
        <w:t>PSP is a sporadic, rare and adult-onset neurodegenerative disorder that affects walking and balance, eye movement, swallowing, and speech. The disease is reported to affect seven in 100,000 people worldwide. People living with PSP have a life expectancy of six to eight years after initial diagnosis, and PSP typically begins in late-middle age and rapidly progresses over time. There are currently no approved therapies for the treatment of PSP.</w:t>
      </w:r>
    </w:p>
    <w:p>
      <w:pPr>
        <w:spacing w:after="0" w:line="159" w:lineRule="exact"/>
        <w:rPr>
          <w:sz w:val="20"/>
          <w:szCs w:val="20"/>
          <w:color w:val="auto"/>
        </w:rPr>
      </w:pPr>
    </w:p>
    <w:p>
      <w:pPr>
        <w:ind w:right="180" w:firstLine="749"/>
        <w:spacing w:after="0" w:line="272" w:lineRule="auto"/>
        <w:rPr>
          <w:sz w:val="20"/>
          <w:szCs w:val="20"/>
          <w:color w:val="auto"/>
        </w:rPr>
      </w:pPr>
      <w:r>
        <w:rPr>
          <w:rFonts w:ascii="Times New Roman" w:cs="Times New Roman" w:eastAsia="Times New Roman" w:hAnsi="Times New Roman"/>
          <w:sz w:val="17"/>
          <w:szCs w:val="17"/>
          <w:color w:val="auto"/>
        </w:rPr>
        <w:t xml:space="preserve">Preclinical data support the potential of both sodium phenylbutyrate, PB, and taurursodiol, TURSO, the two small molecules in the fixed-dose combination of AMX0035, for the potential treatment of PSP. In a variety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experiments, sodium phenylbutyrate upregulated and recruited chaperone proteins, stabilized protein folding, and reduced ER stress and the unfolded protein response, which can lead to apoptosis if the stress is overwhelming. It has been shown in PSP that the unfolded protein response is activated in disease-affected regions in PSP and genetic evidence indicates this activation is not a protective response but a risk factor for the development of PSP. TURSO stabilized the mitochondrial membrane by reducing the translocation of cell death regulator Bax, leading to improved mitochondrial function and energy production, and an increased cell apoptotic threshold. In PSP, impairment of mitochondrial function has been shown in cybrid cell lines from patients with PSP as well as neurons derived from patients with PSP.</w:t>
      </w:r>
    </w:p>
    <w:p>
      <w:pPr>
        <w:spacing w:after="0" w:line="17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PSP is characterized by abnormal tau inclusions and is consequently also known as a tauopathy. Similar to other neurodegenerative diseases, pathophysiologic changes underlying PSP are multifactorial with several genetic and environmental factors likely contributing to tau dysfunction and aggregation. Multiple pathways, including genetic mutations, endoplasmic reticulum stress and the activation of unfolded protein response, mitochondrial dysfunction, and neuroinflammation have been implicated as contributors to tau dysfunction and aggregation. Based on preclinical data and biomarker analyses from the Phase 2 PEGASUS trial of AMX0035 in AD, AMX0035 was shown to significantly lower levels of tau and other markers of neurodegeneration.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AMX0035 for WS</w:t>
      </w:r>
    </w:p>
    <w:p>
      <w:pPr>
        <w:spacing w:after="0" w:line="229" w:lineRule="exact"/>
        <w:rPr>
          <w:sz w:val="20"/>
          <w:szCs w:val="20"/>
          <w:color w:val="auto"/>
        </w:rPr>
      </w:pPr>
    </w:p>
    <w:p>
      <w:pPr>
        <w:ind w:right="260" w:firstLine="749"/>
        <w:spacing w:after="0" w:line="260" w:lineRule="auto"/>
        <w:rPr>
          <w:sz w:val="20"/>
          <w:szCs w:val="20"/>
          <w:color w:val="auto"/>
        </w:rPr>
      </w:pPr>
      <w:r>
        <w:rPr>
          <w:rFonts w:ascii="Times New Roman" w:cs="Times New Roman" w:eastAsia="Times New Roman" w:hAnsi="Times New Roman"/>
          <w:sz w:val="18"/>
          <w:szCs w:val="18"/>
          <w:color w:val="auto"/>
        </w:rPr>
        <w:t>We announced that the FDA granted orphan drug designation to AMX0035 for the treatment of WS in November 2020. In March 2023, we completed site activation for a Phase 2 clinical trial of AMX0035 for the treatment of WS and in April 2023, we announced that the first participant was dosed. The trial is an exploratory open-label proof of biology study assessing the effect of AMX0035 safety and tolerability, and various measures of endocrinological, neurological and ophthalmologic function. We anticipate topline results from the trial in 2024.</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Researchers from the Washington University School of Medicine in St. Louis, in collaboration with Amylyx, published preclinical data exploring the potential of AMX0035 as a novel therapeutic approach for WS. These data were published in the peer-reviewed </w:t>
      </w:r>
      <w:r>
        <w:rPr>
          <w:rFonts w:ascii="Times New Roman" w:cs="Times New Roman" w:eastAsia="Times New Roman" w:hAnsi="Times New Roman"/>
          <w:sz w:val="18"/>
          <w:szCs w:val="18"/>
          <w:i w:val="1"/>
          <w:iCs w:val="1"/>
          <w:color w:val="auto"/>
        </w:rPr>
        <w:t>Journal of Clinical Investigation</w:t>
      </w:r>
      <w:r>
        <w:rPr>
          <w:rFonts w:ascii="Times New Roman" w:cs="Times New Roman" w:eastAsia="Times New Roman" w:hAnsi="Times New Roman"/>
          <w:sz w:val="18"/>
          <w:szCs w:val="18"/>
          <w:color w:val="auto"/>
        </w:rPr>
        <w:t>, characterizing a pathogenic variant in the WFS1 gene (WFS1 c.1672C&gt;T, p.R558C), identifying a platform for further genotype-phenotype analysis, and providing initial proof-of-concept for the therapeutic development of AMX0035 in WS. The study demonstrated that iPSC-derived WS models can provide a model of genotype-phenotype relationships that correlate with clinical observations. Study highlights related to AMX0035 included:</w:t>
      </w:r>
    </w:p>
    <w:p>
      <w:pPr>
        <w:spacing w:after="0" w:line="290" w:lineRule="exact"/>
        <w:rPr>
          <w:sz w:val="20"/>
          <w:szCs w:val="20"/>
          <w:color w:val="auto"/>
        </w:rPr>
      </w:pPr>
    </w:p>
    <w:p>
      <w:pPr>
        <w:ind w:left="1020" w:right="16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AMX0035 improved WFS1 protein expression, increased insulin secretion, and inhibited cell death in β cells with the WFS1 c.1672C&gt;T, p.R558C variant. AMX0035 also prevented cellular death in patient-derived neuronal progenitor cells. Gene enrichment analysis revealed that treatment with AMX0035 ameliorated organelle dysfunction, mitophagy, ER stress, and apoptosis.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Furthermore, AMX0035 delayed the onset of the diabetic phenotype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the Wfs1-knockout mouse model of WS.</w:t>
      </w:r>
    </w:p>
    <w:p>
      <w:pPr>
        <w:spacing w:after="0" w:line="200" w:lineRule="exact"/>
        <w:rPr>
          <w:sz w:val="20"/>
          <w:szCs w:val="20"/>
          <w:color w:val="auto"/>
        </w:rPr>
      </w:pPr>
    </w:p>
    <w:p>
      <w:pPr>
        <w:spacing w:after="0" w:line="242"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WS is an autosomal recessive neurodegenerative disease characterized by childhood-onset diabetes, optic nerve atrophy, and neurodegeneration. Common manifestations of WS include diabetes mellitus, optic nerve atrophy, central diabetes insipidus, sensorineural deafness, neurogenic bladder, and progressive neurologic difficulties. The prognosis of WS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0" w:name="page21"/>
    <w:bookmarkEnd w:id="20"/>
    <w:p>
      <w:pPr>
        <w:ind w:right="80"/>
        <w:spacing w:after="0" w:line="265" w:lineRule="auto"/>
        <w:rPr>
          <w:sz w:val="20"/>
          <w:szCs w:val="20"/>
          <w:color w:val="auto"/>
        </w:rPr>
      </w:pPr>
      <w:r>
        <w:rPr>
          <w:rFonts w:ascii="Times New Roman" w:cs="Times New Roman" w:eastAsia="Times New Roman" w:hAnsi="Times New Roman"/>
          <w:sz w:val="18"/>
          <w:szCs w:val="18"/>
          <w:color w:val="auto"/>
        </w:rPr>
        <w:t>is poor, and many people with the disease die prematurely with severe neurological disabilities. WS is a rare, pediatric, life-threatening disease thought to be caused by variants in the WS WFS1 gene, or WFS1, and, in a small fraction of patients, pathogenic variants in the CDGSH iron sulfur domain protein 2 CISD2 gene, or CISD2. There are currently no drugs approved for WS.</w:t>
      </w:r>
    </w:p>
    <w:p>
      <w:pPr>
        <w:spacing w:after="0" w:line="177"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WS appears to be a disease of ER stress. WFS1 encodes and produces the vital wolframin protein, which appears to be involved in ER regulatory processes. WFS1 deficiency leads to chronic ER stress and the UPR. WFS1 also negatively regulates activating transcription factor 6 (ATF6), a UPR molecule, resulting in cell death. Furthermore, a recent study suggested that WFS1 impacts mitochondrial function by transporting Ca2+ from the ER to the mitochondria through the mitochondria-associated ER membrane, or MAM.</w:t>
      </w:r>
    </w:p>
    <w:p>
      <w:pPr>
        <w:spacing w:after="0" w:line="18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AMX0035 targets pathways central to WS, including the UPR, and has shown beneficial effects in a variety of models of WS, including cellular models and patient-derived cell line models. For example, to test the potential effects of AMX0035 in the modulation of ER stress in the context of WS, the effects of PB, TURSO and AMX0035 were tested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of wild-type and WFS1-deficient pancreatic beta cell lines. In these cells, when compared with the control group, only AMX0035, but not PB or TURSO alone, was able to significantly prevent tunicamycin-induced cell death in WFS1-deficient pancreatic beta cell lines as measured by caspase 3 / 7 activity (p = 0.017). Additionally, a combination of PB and TURSO was studied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human patient-derived neural progenitor cells harboring mutations in WFS1, which cause WS. Both PB and TURSO, when applied alone, were observed to inhibit cell death in each of three different human cell lines as compared to control conditions, and the application of PB and TURSO in combination was observed to result in significantly lower levels of cell death in three separate patient-derived WS cell lines differentiated to produce patient-derived neural progenitor cells, as compared to either the control or treatment with PB or TURSO alone. Thus, in relevant models of WS, use of AMX0035 was observed to have synergistic effects lowering cell death as compared to either the control group or treatment with PB or TURSO alone. For these reasons, we believe AMX0035 is a promising clinical candidate for 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AMX0035 for AD</w:t>
      </w:r>
    </w:p>
    <w:p>
      <w:pPr>
        <w:spacing w:after="0" w:line="229"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8"/>
          <w:szCs w:val="18"/>
          <w:color w:val="auto"/>
        </w:rPr>
        <w:t>In 2021, we completed and reported the results from our Phase 2 PEGASUS trial evaluating the safety, tolerability and activity of AMX0035 in patients with late mild cognitive impairment, or MCI, or early-to-moderate dementia. The purpose of this trial was to collect biomarker data relevant to both AD and other neurodegenerative diseases and help inform our decisions on the development of AMX0035 in AD.</w:t>
      </w:r>
    </w:p>
    <w:p>
      <w:pPr>
        <w:spacing w:after="0" w:line="177" w:lineRule="exact"/>
        <w:rPr>
          <w:sz w:val="20"/>
          <w:szCs w:val="20"/>
          <w:color w:val="auto"/>
        </w:rPr>
      </w:pPr>
    </w:p>
    <w:p>
      <w:pPr>
        <w:ind w:right="40" w:firstLine="794"/>
        <w:spacing w:after="0" w:line="312" w:lineRule="auto"/>
        <w:rPr>
          <w:sz w:val="20"/>
          <w:szCs w:val="20"/>
          <w:color w:val="auto"/>
        </w:rPr>
      </w:pPr>
      <w:r>
        <w:rPr>
          <w:rFonts w:ascii="Times New Roman" w:cs="Times New Roman" w:eastAsia="Times New Roman" w:hAnsi="Times New Roman"/>
          <w:sz w:val="17"/>
          <w:szCs w:val="17"/>
          <w:color w:val="auto"/>
        </w:rPr>
        <w:t>The PEGASUS trial was a randomized, placebo-controlled Phase 2 trial in 95 participants in the U.S. Patients were randomized three-to-two to treatment with AMX0035, one sachet (each containing one gram of TURSO and three grams of PB) given twice-daily over 24 weeks, or matching placebo.</w:t>
      </w:r>
    </w:p>
    <w:p>
      <w:pPr>
        <w:spacing w:after="0" w:line="13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primary investigator for the PEGASUS trial, Dr. Steven Arnold, presented topline results from the PEGASUS trial at the Clinical Trials on Alzheimer’s Disease conference, or CTAD, which was held during the fourth quarter of 2021. Based on these topline results, AMX0035 was generally well-tolerated with approximately 80% of patients completing dosing in the trial in the AMX0035 arm. Safety results are depicted in the figure below. As in the CENTAUR trial, a higher percentage of patients in the AMX0035 arm had gastrointestinal adverse events. However, no SAEs were attributed to AMX0035 in the PEGASUS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127000</wp:posOffset>
            </wp:positionV>
            <wp:extent cx="4452620" cy="127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52620" cy="127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6-month trial was not powered to evaluate differences between the AMX0035 and placebo arms in cognition, function or imaging.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1" w:name="page22"/>
    <w:bookmarkEnd w:id="21"/>
    <w:p>
      <w:pPr>
        <w:ind w:firstLine="749"/>
        <w:spacing w:after="0" w:line="265" w:lineRule="auto"/>
        <w:rPr>
          <w:sz w:val="20"/>
          <w:szCs w:val="20"/>
          <w:color w:val="auto"/>
        </w:rPr>
      </w:pPr>
      <w:r>
        <w:rPr>
          <w:rFonts w:ascii="Times New Roman" w:cs="Times New Roman" w:eastAsia="Times New Roman" w:hAnsi="Times New Roman"/>
          <w:sz w:val="18"/>
          <w:szCs w:val="18"/>
          <w:color w:val="auto"/>
        </w:rPr>
        <w:t>The exploratory objectives of the trial were to measure the effect of AMX0035 treatment on biochemical markers of amyloid-ß1-42, amyloid-ß1-40, total tau (t-tau), tau phosphorylated at threonine 181 (ptau 181), neuronal injury markers, mitochondrial redox and function markers, and neuroinflammation, as assessed in cerebrospinal fluid, or CSF, from all volunteers.</w:t>
      </w:r>
    </w:p>
    <w:p>
      <w:pPr>
        <w:spacing w:after="0" w:line="177"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While functional MRI analyses remain ongoing, no significant differences between dosing groups were observed for any efficacy endpoints in this trial (p&gt;0.05). Key efficacy results are included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114935</wp:posOffset>
            </wp:positionV>
            <wp:extent cx="4897755" cy="3433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97755" cy="343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firstLine="757"/>
        <w:spacing w:after="0" w:line="223" w:lineRule="auto"/>
        <w:tabs>
          <w:tab w:leader="none" w:pos="847"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Hippocampal volume component is based on standard ADNI MRI algorithm but was also assessed via additional MRI algorithms included in the Statistical Analysis Plan and yielded similar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137795</wp:posOffset>
            </wp:positionV>
            <wp:extent cx="5617210" cy="256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17210" cy="256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2520315</wp:posOffset>
            </wp:positionH>
            <wp:positionV relativeFrom="page">
              <wp:posOffset>842645</wp:posOffset>
            </wp:positionV>
            <wp:extent cx="2954020" cy="2217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954020" cy="221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Significant impacts on multiple biomarkers of interest in AD were observed in the trial. In CSF, the AMX0035-group showed significant reductions of tau protein 181 (p&lt;0.001) and phosphorylated tau protein (p&lt;0.001) compared with the placebo group, modulation of the amyloid beta 42/40 ratio (p&lt;0.05) and increase of 8-hydroxy-2’ -deoxyguanosine, (p&lt;0.01). These topline results from the PEGASUS trial are still subject to further audit and verification procedures and additional biomarker results are not yet available.</w:t>
      </w:r>
    </w:p>
    <w:p>
      <w:pPr>
        <w:spacing w:after="0" w:line="18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believe the biomarker and imaging outcomes from the trial have substantially improved and will continue to inform our knowledge of the impact of AMX0035 on the neurodegenerative pathways relevant to the progression of AD. We continue to use these results to evaluate and inform our clinical development strategy of AMX0035 in AD and other potential indications. We are currently evaluating these data and discussing the results of the PEGASUS trial with scientific advisors as we consider potential next steps for the development of AMX0035 for the treatment of AD within our clinical development strategy.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New Formulation for AMX0035 in ALS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working on a new taste-masked formulation of AMX0035. This formulation may allow for new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AMX0114 for ALS</w:t>
      </w:r>
    </w:p>
    <w:p>
      <w:pPr>
        <w:spacing w:after="0" w:line="229"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We believe that a cure for ALS will require a combination approach, targeting multiple cellular pathways implicated in disease pathogenesis. As part of this effort, we are investigating AMX0114, an antisense oligonucleotide, designed to target the gene encoding calpain-2, a key contributor to the axonal (Wallerian) degeneration pathway.</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Axonal degeneration has been recognized as a key early contributor to the clinical presentation and pathogenesis of ALS and other neurodegenerative diseases. Activation of the calcium-dependent protease calpain-2 is proposed as a critical effector of axonal degeneration. Calpain-2 has been implicated in the pathogenesis of ALS based on findings of elevated levels of calpain-2 and its cleavage products in postmortem ALS tissue, therapeutic benefit of calpain-2 modulation in animal models of ALS, and the role of calpain-2 in cleaving neurofilament, a broadly researched biomarker in ALS.</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Preclinical studies completed to date have shown that AMX0114 achieves potent, dose-dependent, and durable knockdown of </w:t>
      </w:r>
      <w:r>
        <w:rPr>
          <w:rFonts w:ascii="Times New Roman" w:cs="Times New Roman" w:eastAsia="Times New Roman" w:hAnsi="Times New Roman"/>
          <w:sz w:val="18"/>
          <w:szCs w:val="18"/>
          <w:i w:val="1"/>
          <w:iCs w:val="1"/>
          <w:color w:val="auto"/>
        </w:rPr>
        <w:t>CAPN2</w:t>
      </w:r>
      <w:r>
        <w:rPr>
          <w:rFonts w:ascii="Times New Roman" w:cs="Times New Roman" w:eastAsia="Times New Roman" w:hAnsi="Times New Roman"/>
          <w:sz w:val="18"/>
          <w:szCs w:val="18"/>
          <w:color w:val="auto"/>
        </w:rPr>
        <w:t xml:space="preserve"> mRNA expression and calpain-2 protein levels in human motor neurons. Moreover, treatment with AMX0114 reduced extracellular neurofilament light chain (NfL) levels following neurotoxic insult in iPSC-derived human motor neurons, and treatment with AMX0114 improved survival of iPSC-derived human motor neurons harboring ALS-linked, pathogenic TDP-43 mutations.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AMX0114 is being advanced through Investigational New Drug, or IND, -enabling studies and we expect to file an IND and enter the clinic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 Composite Diagnostic Biomarker for ALS</w:t>
      </w:r>
    </w:p>
    <w:p>
      <w:pPr>
        <w:spacing w:after="0" w:line="229"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People living with ALS spend approximately one-third of their disease course searching for a diagnosis. One of the key drivers of diagnostic delay in ALS is the lack of reliable, validated biomarkers to aid in diagnosis. Techniques to support earlier diagnosis are critical to advance care and treatment for ALS and mitigate the significant psychological stress that people living with ALS and their families experience during a lengthy diagnostic process.</w:t>
      </w:r>
    </w:p>
    <w:p>
      <w:pPr>
        <w:spacing w:after="0" w:line="182"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We are working to develop a novel composite biomarker with the aim of facilitating earlier diagnosis of ALS. A pilot study is underway, which will provide information about the performance of putative biomarkers, identify candidate biomarkers, and inform the design of subsequent validation studies.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Advocacy</w:t>
      </w:r>
    </w:p>
    <w:p>
      <w:pPr>
        <w:spacing w:after="0" w:line="229"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The patient advocacy landscapes for ALS and other neurodegenerative diseases are large and complex integrated networks, and encompass groups at the international, multiregional and country-specific level. We have built credible and trusted partnerships across these complex networks at the international level, with our current emphasis being on ALS advocacy groups in the U.S., Canada, Europe, and APAC.</w:t>
      </w:r>
    </w:p>
    <w:p>
      <w:pPr>
        <w:spacing w:after="0" w:line="17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Working with key advocacy groups is critical to our mission, as people living with these neurodegenerative diseases and their families are at the center of everything we do. This starts with transparent communication and awareness about our science, data and development plans. We seek ensure that these advocacy groups are informed, able to answer questions from their constituents, and advocate appropriately for access and policies to benefit their community.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proprietary products.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including AMX0035, may compete with current therapies and new therapies that may become available in the future. We believe that the key competitive factors affecting the success of any of our product candidates will include efficacy, safety profile, dosing, cost, effectiveness of promotional support and intellectual property protection.</w:t>
      </w:r>
    </w:p>
    <w:p>
      <w:pPr>
        <w:spacing w:after="0" w:line="18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for the foreseeable future, on third-party contract manufacturing organizations, or CMOs, for the production of AMX0035 and AMX0114 in compliance with current Good Manufacturing Process, or cGMP, requirements, for commercial supply as well as for use in clinical trials under the guidance of members of our organization. For AMX0035, we utilize two active pharmaceutical ingredients, or APIs, PB and TURSO, which are manufactured and released to us from third-party manufacturers. We have long term, single-source supply agreements in place for these APIs, including authorization to reference the relevant drug master files with these vendors. We have single-source arrangements for the manufacturing and packaging of bulk drug at established CMOs for commercial supply, clinical trials, and other potential needs. We manufacture AMX0035 bulk drug at Patheon Inc., or Patheon, a subsidiary of Thermo Fisher Scientific Inc., located in Whitby, Canada. We have scaled-up our third-party manufacturing capabilities in a manner that we believe will continue to support commercial demand and have entered into agreements covering the manufacture of AMX0035 through 2025. Following manufacturing, bulk drug is then sent to PCI Pharma Services in Rockford, IL, for primary and secondary packaging. As we look to markets outside of the U.S., we plan to add additional manufacturing and distribution sites to support local market demand. In addition, we utilize a risk-based approach to bring on additional manufacturing sites as needed.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24" w:name="page25"/>
    <w:bookmarkEnd w:id="24"/>
    <w:p>
      <w:pPr>
        <w:ind w:right="340" w:firstLine="749"/>
        <w:spacing w:after="0" w:line="260" w:lineRule="auto"/>
        <w:rPr>
          <w:sz w:val="20"/>
          <w:szCs w:val="20"/>
          <w:color w:val="auto"/>
        </w:rPr>
      </w:pPr>
      <w:r>
        <w:rPr>
          <w:rFonts w:ascii="Times New Roman" w:cs="Times New Roman" w:eastAsia="Times New Roman" w:hAnsi="Times New Roman"/>
          <w:sz w:val="18"/>
          <w:szCs w:val="18"/>
          <w:color w:val="auto"/>
        </w:rPr>
        <w:t>We have built a team of pharmaceutical industry technical operations leaders. This team has significant technical, manufacturing, analytical, quality, regulatory, including cGMP, and project management experience to oversee our third-party manufacturers and maintain quality and regulatory compliance. In addition, members of this team have been involved in commercializing and launching rare disease products across the globe. We plan to continue to build our technical operations team as commercialization continues.</w:t>
      </w:r>
    </w:p>
    <w:p>
      <w:pPr>
        <w:spacing w:after="0" w:line="182"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We also have a Quality Management System consistent with a regulated industry that outlines Standard Operating Policies and Procedures that govern the oversight of our CMOs.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 with Patheon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2019, we entered into a master manufacturing services agreement, or the Manufacturing Agreement, with Patheon, Inc., or Patheon, pursuant to which Patheon provides cGMP manufacturing, quality control, quality assurance, stability testing, packaging and related services to us. We have executed an initial product agreement under the Manufacturing Agreement, which covers AMX0035. The Manufacturing Agreement has an initial term ending in December 2025, and will automatically renew if there is a product agreement in effect, with the renewal period ending upon the termination of the last product agreement in effect. The product agreement covering AMX0035 has an initial term ending in December 2025 and automatically renews for successive terms of two years, unless either party gives prior notice of its intent not to review.</w:t>
      </w:r>
    </w:p>
    <w:p>
      <w:pPr>
        <w:spacing w:after="0" w:line="200" w:lineRule="exact"/>
        <w:rPr>
          <w:sz w:val="20"/>
          <w:szCs w:val="20"/>
          <w:color w:val="auto"/>
        </w:rPr>
      </w:pPr>
    </w:p>
    <w:p>
      <w:pPr>
        <w:spacing w:after="0" w:line="20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terminate the Manufacturing Agreement or any product agreement: upon 30 days’ prior written notice if any government or regulatory authority permanently prevents us from selling AMX0035 in Canada, the EU or the U.S., if approved, or upon 90 days’ prior written notice, if we no longer intend to order manufacturing services due to AMX035’s discontinuance in the market. Patheon may terminate any product agreement under the Manufacturing Agreement upon 30 days’ prior written notice, if we project zero volume for twelve successive months during the term of such product agreement. Additionally, Patheon may terminate the Manufacturing Agreement or any product agreement if payment in full of any overdue, undisputed invoice is not received within 30 days of Patheon’s suspension of manufacturing services for nonpayment or, in certain circumstances, upon nine months’ prior written notice if we assign any rights under the Manufacturing Agreement or a product agreement. In addition, either party may terminate the Manufacturing Agreement or any product agreement for cause, including the other party’s uncured material breach and upon written notice, in the case of the other party’s insolvency or bankruptcy.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CU Chemie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October 2019, we entered into a supply agreement with CU Chemie Uetikon, GmbH, or CU Chemie, a division of the SEQENS group, pursuant to which CU Chemie agreed to supply to us, on a non-exclusive basis, bulk drug substance of PB, for use in the manufacture of AMX0035. The agreement has an initial term of five years and will automatically renew for successive terms of two years, unless earlier terminated. After the expiration of the initial term, either party may terminate the agreement for convenience upon three months’ prior written notice. Additionally, either party may terminate the agreement in the case of the other party’s uncured material breach or upon the insolvency or bankruptcy of the other party.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ICE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2023, we entered into a commercial supply agreement with ICE S.p.A., or ICE (formerly Prodotti Chimici e Alimentari S.p.A.), pursuant to which ICE agreed to supply to us, on an exclusive basis, bulk drug substance of tauroursodeoxycholic acid , which we use in the manufacture of AMX0035. The agreement contains certain minimum purchase requirements. The agreement has an initial term ending in December 2028 and can be renewed as determined by a joint steering committee. Either party may terminate the agreement in the case of the other party’s insolvency or bankruptcy, or in case of the other party’s uncured breach.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60" w:firstLine="749"/>
        <w:spacing w:after="0" w:line="281" w:lineRule="auto"/>
        <w:rPr>
          <w:sz w:val="20"/>
          <w:szCs w:val="20"/>
          <w:color w:val="auto"/>
        </w:rPr>
      </w:pPr>
      <w:r>
        <w:rPr>
          <w:rFonts w:ascii="Times New Roman" w:cs="Times New Roman" w:eastAsia="Times New Roman" w:hAnsi="Times New Roman"/>
          <w:sz w:val="18"/>
          <w:szCs w:val="18"/>
          <w:color w:val="auto"/>
        </w:rPr>
        <w:t>While the PB and TURSO molecules individually are not proprietary to us, we own patents and patent applications covering AMX0035, including the fixed-dose combination of AMX0035 itself.</w:t>
      </w:r>
    </w:p>
    <w:p>
      <w:pPr>
        <w:spacing w:after="0" w:line="163"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to pharmaceuticals generally. Our commercial success depends in part on our ability to obtain intellectual property that protects AMX0035 and its uses, and any future product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5" w:name="page26"/>
    <w:bookmarkEnd w:id="25"/>
    <w:p>
      <w:pPr>
        <w:ind w:right="260"/>
        <w:spacing w:after="0" w:line="281" w:lineRule="auto"/>
        <w:rPr>
          <w:sz w:val="20"/>
          <w:szCs w:val="20"/>
          <w:color w:val="auto"/>
        </w:rPr>
      </w:pPr>
      <w:r>
        <w:rPr>
          <w:rFonts w:ascii="Times New Roman" w:cs="Times New Roman" w:eastAsia="Times New Roman" w:hAnsi="Times New Roman"/>
          <w:sz w:val="18"/>
          <w:szCs w:val="18"/>
          <w:color w:val="auto"/>
        </w:rPr>
        <w:t>candidates. We seek to protect and enhance proprietary technology, inventions and improvements that are commercially important to the development of our business and AMX0035, in particular, by seeking, maintaining and defending U.S. and foreign patent rights.</w:t>
      </w:r>
    </w:p>
    <w:p>
      <w:pPr>
        <w:spacing w:after="0" w:line="163"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We are actively building our intellectual property portfolio in our therapeutic area, including around AMX0035 and AMX0114. Our current patent portfolio includes eight patent families. In those eight families, we currently own a total of 122 issued patents and pending patent applications directed to our technologies, including AMX0035. Currently, our patent portfolio includes six issued U.S. patents, 58 issued foreign patents, 14 pending U.S. patent applications and 44 pending foreign patent applications. Our issued patents and pending applications cover the relative amounts of a phenylbutyrate compound and a bile acid (such as TUDCA) and some of our issued and pending claims cover the specific ratio of those two drugs.</w:t>
      </w:r>
    </w:p>
    <w:p>
      <w:pPr>
        <w:spacing w:after="0" w:line="18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earliest in time patent family relates to compositions of a bile acid and a phenylbutyrate compound (including TURSO and 4-PBA) and methods of treating neurodegenerative disease, and its associated causes at a cellular level, using those compositions. This family includes four issued U.S. patents and 58 issued foreign patents (including rights in countries in which our issued European patent was validated). The foreign jurisdictions in which we have been issued patents include Albania, Austria, Australia, Bosnia and Herzegovina, Belgium, Bulgaria, China, Croatia, Cyprus, Czech Republic, Denmark, Estonia, the EU, Finland, France, Germany, Greece, Hong Kong, Hungary, Ireland, Iceland, Italy, Japan, Lithuania, Latvia, Macao, Macedonia, Malta, Monaco, Montenegro, Netherlands, Norway, Poland, Portugal, Romania, San Marino, Serbia, Slovenia, Slovakia, South Korea, Spain, Sweden, Switzerland, Turkey, and UK. We also have patent applications pending in Australia, Canada, the EU, Macao, Japan, South Korea, the U.S. and other jurisdictions. In this family, we have composition of matter claims issued in the U.S. (U.S. Patent No. 11,071,742, which was issued on July 27, 2021) and Australia. These issued patents and others that issue from this family may first begin to expire as early as December 2033.</w:t>
      </w:r>
    </w:p>
    <w:p>
      <w:pPr>
        <w:spacing w:after="0" w:line="18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second patent family is directed to specific compositions of a phenylbutyrate compound and a bile acid (including TURSO and 4-PBA) and methods of manufacturing those compositions. This family includes two issued U.S. patents. We also have patent applications pending in this family in the U.S., EU, and other jurisdictions. In this family, we have composition of matter claims pending in applications filed in the U.S., Argentina, Australia, Brazil, Canada, China, the EU, Hong Kong, Israel, Japan, South Korea, Mexico, and Taiwan. The issued patents and others that issue from this family may first begin to expire as early as July 2040.</w:t>
      </w:r>
    </w:p>
    <w:p>
      <w:pPr>
        <w:spacing w:after="0" w:line="182"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Our third patent family is directed to methods of treating particular symptoms of ALS and/or reducing the associated adverse events with combinations of a phenylbutyrate compound and a bile acid (including TURSO and 4-PBA). We have patent applications pending in this family in the U.S., EU, and other jurisdictions. Currently, we do not have any composition of matter claims pending in this family. Although no patents have yet issued from this family, we expect the term on patents issuing from this family to extend until at least August 2040.</w:t>
      </w:r>
    </w:p>
    <w:p>
      <w:pPr>
        <w:spacing w:after="0" w:line="182"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Our fourth patent family is directed to methods of treating Alzheimer’s disease and other tauopathies (including progressive supranuclear palsy) with combinations of a phenylbutyrate compound and a bile acid (including sodium phenylbutyrate and TURSO). We have patent applications pending in this family in Argentina, Taiwan, as well as a Patent Cooperation Treaty (PCT) application. Although no patents have yet issued from this family, we expect the term on patents issuing from this family to extend until at least November 2042.</w:t>
      </w:r>
    </w:p>
    <w:p>
      <w:pPr>
        <w:spacing w:after="0" w:line="18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fifth patent family is directed to methods of co-administering other therapeutic drugs (including substrates of cytochrome P450, drugs with a narrow therapeutic index, and substrates of Organic Anion Transporter 1 (OAT1)) with combinations of a phenylbutyrate compound and a bile acid (including sodium phenylbutyrate and TURSO). We have patent applications pending in this family in the U.S., Argentina, Taiwan, as well as a Patent Cooperation Treaty (PCT) application. Although no patents have yet issued from this family, we expect the term on patents issuing from this family to extend until at least March 2042.</w:t>
      </w:r>
    </w:p>
    <w:p>
      <w:pPr>
        <w:spacing w:after="0" w:line="182"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Our sixth patent family is directed to pharmacokinetic characteristics following the administration of TURSO and sodium phenylbutyrate. We have patent applications pending in this family in the U.S., Argentina, Taiwan, as well as a Patent Cooperation Treaty (PCT) application. Although no patents have yet issued from this family, we expect the term on patents issuing from this family to extend until at least May 2042.</w:t>
      </w:r>
    </w:p>
    <w:p>
      <w:pPr>
        <w:spacing w:after="0" w:line="177" w:lineRule="exact"/>
        <w:rPr>
          <w:sz w:val="20"/>
          <w:szCs w:val="20"/>
          <w:color w:val="auto"/>
        </w:rPr>
      </w:pPr>
    </w:p>
    <w:p>
      <w:pPr>
        <w:ind w:right="320" w:firstLine="749"/>
        <w:spacing w:after="0" w:line="265" w:lineRule="auto"/>
        <w:rPr>
          <w:sz w:val="20"/>
          <w:szCs w:val="20"/>
          <w:color w:val="auto"/>
        </w:rPr>
      </w:pPr>
      <w:r>
        <w:rPr>
          <w:rFonts w:ascii="Times New Roman" w:cs="Times New Roman" w:eastAsia="Times New Roman" w:hAnsi="Times New Roman"/>
          <w:sz w:val="18"/>
          <w:szCs w:val="18"/>
          <w:color w:val="auto"/>
        </w:rPr>
        <w:t>Our seventh patent family is directed to methods of co-administering other therapeutic drugs (including inhibitors of bile salt efflux pump (BSEP)) with combinations of a phenylbutyrate compound and a bile acid (including sodium phenylbutyrate and TURSO). We have patent applications pending in this family in the U.S., Argentina, Taiwan, as well as 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6" w:name="page27"/>
    <w:bookmarkEnd w:id="26"/>
    <w:p>
      <w:pPr>
        <w:ind w:right="100"/>
        <w:spacing w:after="0" w:line="281" w:lineRule="auto"/>
        <w:rPr>
          <w:sz w:val="20"/>
          <w:szCs w:val="20"/>
          <w:color w:val="auto"/>
        </w:rPr>
      </w:pPr>
      <w:r>
        <w:rPr>
          <w:rFonts w:ascii="Times New Roman" w:cs="Times New Roman" w:eastAsia="Times New Roman" w:hAnsi="Times New Roman"/>
          <w:sz w:val="18"/>
          <w:szCs w:val="18"/>
          <w:color w:val="auto"/>
        </w:rPr>
        <w:t>Patent Cooperation Treaty (PCT) application. Although no patents have yet issued from this family, we expect the term on patents issuing from this family to extend until at least May 2042.</w:t>
      </w:r>
    </w:p>
    <w:p>
      <w:pPr>
        <w:spacing w:after="0" w:line="163"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Our eighth patent family is directed to oligonucleotides targeting the Calpain-2 transcript. We have patent applications pending in this family in the U.S., as well as a Patent Cooperation Treaty (PCT) application. Although no patents have yet issued from this family, we expect the term on patents issuing from this family to extend until at least May 2043.</w:t>
      </w:r>
    </w:p>
    <w:p>
      <w:pPr>
        <w:spacing w:after="0" w:line="17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nor with respect to any patent applications that may be filed by us in the future. Further, we cannot be sure that any of our existing patents or any patents that may be granted to us in the future will be commercially useful in protecting our commercial products. Finally, we cannot be sure that our granted patents, and any future patents granted to us, will be found valid and/or enforceable following a litigation or administrative procedure.</w:t>
      </w:r>
    </w:p>
    <w:p>
      <w:pPr>
        <w:spacing w:after="0" w:line="18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January 2021, Bruschettini S.r.l. and Lederer &amp; Keller Patentanwälte Partnerschaft mbB each filed oppositions at the European Patent Office to our issued European Patent, EP2978419. At a high level, this patent claims various methods of treating neurodegenerative disease (and or the causes or conditions thereof) with a bile acid and a phenylbutyrate compound. The Opposition Division maintained European Patent, EP2978419 as granted in oral proceedings on June 2, 2022. The decision of the Opposition Division has become final and EP2978419 is maintained as granted. EP2978419 has been opted-out from the jurisdiction of the Unified Patent Court effective April 26, 2023.</w:t>
      </w:r>
    </w:p>
    <w:p>
      <w:pPr>
        <w:spacing w:after="0" w:line="18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of the first non-provisional application to which priority is claimed. In the U.S., patent term may be lengthened by patent term adjustment, which compensates a patentee for administrative delays by the U.S. Patent and Trademark Office in granting a patent, or may be shortened if a patent is terminally disclaimed over an earlier-filed patent. In the U.S., the term of a patent that covers an FDA-approved drug may also be eligible for a patent term extension of up to five years under the Hatch-Waxman Act, which is designed to compensate for the patent term lost during the FDA regulatory review process. The length of the patent term extension is calculated based on the length of time it takes for regulatory review. A patent term extension under the Hatch-Waxman Act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certain other foreign jurisdictions to extend the term of a patent that covers an approved drug. Following the approval of RELYVRIO in the U.S., we have applied for patent term extensions for certain of our issued U.S. patents covering our product and/or their methods of use.</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also rely on trademarks, trade secrets, know-how, continuing technological innovation, confidentiality agreements, and invention assignment agreements to develop and maintain our proprietary position. The confidentiality agreements are designed to protect our proprietary information and the invention assignment agreements are designed to grant us ownership of technologies that are developed for us by our employees, consultants, or other third parties. We seek to preserve the integrity and confidentiality of our data and trade secrets by maintaining physical security of our premises and physical and electronic security of our information technology, or IT, systems. While we have confidence in our agreements and security measures, either may be breached, and we may not have adequate remedies. In addition, our trade secrets may otherwise become known or independently discovered by competitors.</w:t>
      </w:r>
    </w:p>
    <w:p>
      <w:pPr>
        <w:spacing w:after="0" w:line="187"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Our commercial success also depends in part on our ability to operate without infringing on the proprietary rights of others and to prevent others from infringing our proprietary rights. A comprehensive discussion on risks relating to intellectual property is provided in Item 1A of this Annual Report entitled “Risk Factors—Risks Related to Our Intellectual Property.”</w:t>
      </w:r>
    </w:p>
    <w:p>
      <w:pPr>
        <w:spacing w:after="0" w:line="177"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We have conducted searches of the patent landscape at certain points and in certain jurisdictions with respect to AMX0035, and based on these searches and our analyses, we have not identified any issued patents that we believe are valid and could be successfully asserted to block our ability to commercialize AMX0035.</w:t>
      </w:r>
    </w:p>
    <w:p>
      <w:pPr>
        <w:spacing w:after="0" w:line="17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European Patent EP3016654, entitled “Tauroursodeoxycholic acid (TUDCA) for Use in the Treatment of Neurodegenerative Disorders,” is owned by Bruschettini S.r.l. The patent relates to use of TURSO in the treatment of ALS in a mammal. An opposition has been filed to the grant of EP3016654 at the European Patent Office (EPO), asking the EPO to revoke EP3016654. The EPO issued a preliminary opinion on November 18, 2019 finding that at least the main claim of EP3016654 lacked novelty. Oral proceedings were held before an Opposition Division of the EPO on June 11, 2021. At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7" w:name="page28"/>
    <w:bookmarkEnd w:id="27"/>
    <w:p>
      <w:pPr>
        <w:ind w:right="80"/>
        <w:spacing w:after="0" w:line="260" w:lineRule="auto"/>
        <w:rPr>
          <w:sz w:val="20"/>
          <w:szCs w:val="20"/>
          <w:color w:val="auto"/>
        </w:rPr>
      </w:pPr>
      <w:r>
        <w:rPr>
          <w:rFonts w:ascii="Times New Roman" w:cs="Times New Roman" w:eastAsia="Times New Roman" w:hAnsi="Times New Roman"/>
          <w:sz w:val="18"/>
          <w:szCs w:val="18"/>
          <w:color w:val="auto"/>
        </w:rPr>
        <w:t>end of the oral proceedings, the Opposition Division announced the decision revoking all claims of EP3016654. A written decision has been issued; however Bruschettini has appealed the decision of the Opposition Division to the Board of Appeal. A response to Bruschettini’s appeal has been filed on June 7, 2022 requesting that the appeal should be dismissed and that the decision of the Opposition Division to revoke all claims of EP3016654 be upheld. The Board of Appeal has issued summons to attend oral proceedings on May 24, 2023. The oral proceedings will be held on June 5,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including Canada and member states of the EU impose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of Drug Products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U.S. generally involves the following:</w:t>
      </w:r>
    </w:p>
    <w:p>
      <w:pPr>
        <w:spacing w:after="0" w:line="117" w:lineRule="exact"/>
        <w:rPr>
          <w:sz w:val="20"/>
          <w:szCs w:val="20"/>
          <w:color w:val="auto"/>
        </w:rPr>
      </w:pPr>
    </w:p>
    <w:p>
      <w:pPr>
        <w:ind w:left="900" w:right="220" w:hanging="263"/>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54"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at each clinical site before each trial may be initiated;</w:t>
      </w:r>
    </w:p>
    <w:p>
      <w:pPr>
        <w:spacing w:after="0" w:line="116" w:lineRule="exact"/>
        <w:rPr>
          <w:rFonts w:ascii="Times New Roman" w:cs="Times New Roman" w:eastAsia="Times New Roman" w:hAnsi="Times New Roman"/>
          <w:sz w:val="18"/>
          <w:szCs w:val="18"/>
          <w:color w:val="auto"/>
        </w:rPr>
      </w:pPr>
    </w:p>
    <w:p>
      <w:pPr>
        <w:ind w:left="900" w:right="120" w:hanging="263"/>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current Good Clinical Practices, or cGCP, requirements to establish the safety and efficacy of the proposed drug product for each indication;</w:t>
      </w:r>
    </w:p>
    <w:p>
      <w:pPr>
        <w:spacing w:after="0" w:line="54"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including payment of application user fees;</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marketing application for review;</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900" w:right="100" w:hanging="263"/>
        <w:spacing w:after="0" w:line="26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product’s identity, strength, quality and purity;</w:t>
      </w:r>
    </w:p>
    <w:p>
      <w:pPr>
        <w:spacing w:after="0" w:line="69"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cGCPs and the integrity of the clinical data; and</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5" w:lineRule="exact"/>
        <w:rPr>
          <w:sz w:val="20"/>
          <w:szCs w:val="20"/>
          <w:color w:val="auto"/>
        </w:rPr>
      </w:pPr>
    </w:p>
    <w:p>
      <w:pPr>
        <w:ind w:right="220" w:firstLine="749"/>
        <w:spacing w:after="0" w:line="267" w:lineRule="auto"/>
        <w:rPr>
          <w:sz w:val="20"/>
          <w:szCs w:val="20"/>
          <w:color w:val="auto"/>
        </w:rPr>
      </w:pPr>
      <w:r>
        <w:rPr>
          <w:rFonts w:ascii="Times New Roman" w:cs="Times New Roman" w:eastAsia="Times New Roman" w:hAnsi="Times New Roman"/>
          <w:sz w:val="18"/>
          <w:szCs w:val="18"/>
          <w:color w:val="auto"/>
        </w:rPr>
        <w:t xml:space="preserve">Preclinical studies include laboratory evaluation of product chemistry, toxicity and formulation,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potential safety and efficacy. The conduct of preclinical studies is subject to federal regulations and requirements, including good laboratory practice regulations for safety/toxicology studies.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28" w:name="page29"/>
    <w:bookmarkEnd w:id="28"/>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An IND sponsor must submit the results of the preclinical tests, together with manufacturing information, analytical data and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preclinical testing, such as animal tests of reproductive adverse events and carcinogenicity,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cGCP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is initiated at that institution. The IRB also must review and approve the informed consent form that must be provided to each clinical trial subject or his or her legal representative, and must monitor the clinical trial until completion.</w:t>
      </w:r>
    </w:p>
    <w:p>
      <w:pPr>
        <w:spacing w:after="0" w:line="18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the NIH and FDA recently signaled the government’s willingness to begin enforcing those requirements against non-compliant clinical trial sponsors.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117" w:lineRule="exact"/>
        <w:rPr>
          <w:sz w:val="20"/>
          <w:szCs w:val="20"/>
          <w:color w:val="auto"/>
        </w:rPr>
      </w:pPr>
    </w:p>
    <w:p>
      <w:pPr>
        <w:ind w:left="900" w:right="500" w:hanging="263"/>
        <w:spacing w:after="0" w:line="281"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54" w:lineRule="exact"/>
        <w:rPr>
          <w:rFonts w:ascii="Times New Roman" w:cs="Times New Roman" w:eastAsia="Times New Roman" w:hAnsi="Times New Roman"/>
          <w:sz w:val="18"/>
          <w:szCs w:val="18"/>
          <w:color w:val="auto"/>
        </w:rPr>
      </w:pPr>
    </w:p>
    <w:p>
      <w:pPr>
        <w:ind w:left="900" w:right="120" w:hanging="263"/>
        <w:spacing w:after="0" w:line="281"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4" w:lineRule="exact"/>
        <w:rPr>
          <w:rFonts w:ascii="Times New Roman" w:cs="Times New Roman" w:eastAsia="Times New Roman" w:hAnsi="Times New Roman"/>
          <w:sz w:val="18"/>
          <w:szCs w:val="18"/>
          <w:color w:val="auto"/>
        </w:rPr>
      </w:pPr>
    </w:p>
    <w:p>
      <w:pPr>
        <w:ind w:left="900" w:hanging="263"/>
        <w:spacing w:after="0" w:line="26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7"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on an NDA.</w:t>
      </w:r>
    </w:p>
    <w:p>
      <w:pPr>
        <w:spacing w:after="0" w:line="17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more frequently if SAEs occur. Written IND safety reports must be submitted to the FDA and investigators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fatal or life-threatening suspected adverse reaction within seven calendar days after the sponsor’s initial receipt of the information.</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w:t>
      </w:r>
    </w:p>
    <w:p>
      <w:pPr>
        <w:spacing w:after="0" w:line="18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product and, among other things, companies must develop methods for testing the identity, strength, quality and purity of the final product. Additionally, appropriate packaging must be selected and tested and stability studies must be conducted to demonstrate that the drug does not undergo unacceptable deterioration over its shelf life.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27"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71"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171"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trial; or 15 days after the investigational drug or biologic receives designation as a breakthrough therapy, fast track product, or regenerative medicine advanced therapy.</w:t>
      </w:r>
    </w:p>
    <w:p>
      <w:pPr>
        <w:spacing w:after="0" w:line="18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FDA expanded access program. There is no obligation for a manufacturer to make its investigational products available to eligible patients as a result of the Right to Try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Submission and Marketing Approval</w:t>
      </w:r>
    </w:p>
    <w:p>
      <w:pPr>
        <w:spacing w:after="0" w:line="227"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t>indications. In most cases, the submission of an NDA is subject to a substantial application user fee. The FDA will initially review an NDA for completeness before it accepts it for “filing.” Under the FDA’s procedures, the agency has 60 days from its receipt of the NDA to determine whether the application will be accepted for filing based on the agency’s threshold determination that the application is sufficiently complete to permit substantive review. Under the Prescription Drug User Fee Act, or PDUFA, guidelines that are currently in effect, the FDA has a goal of ten months from the date of “filing” of a standard NDA, for a new molecular entity to review and act on the submission, and six months from the filing date of a new molecular entity NDA with priority review. Accordingly, this review process typically takes 12 months and eight months, respectively from the date the NDA is submitted to the FDA. The FDA does not always meet its PDUFA goal dates for standard or priority NDAs, and the review process is often extended by FDA requests for additional information or clarification. The FDA reviews an NDA to determine, among other things, whether the drug is safe and effective for its intended use(s), with the latter determination being made on the basis of substantial evidence.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FDA regulations and guidance also allow for greater flexibility and tolerance for uncertainty in the context of rare and fatal diseases. The FDA also assesses whether the facility in which the product is manufactured, processed, packaged or held meets standards designed to assure the product’s continued safety, quality and purity.</w:t>
      </w:r>
    </w:p>
    <w:p>
      <w:pPr>
        <w:spacing w:after="0" w:line="195"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or PREA, as amended,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who is planning to submit a marketing application for a drug that includes a new active ingredient, new indication, new dosage form, new dosing regimen or new route of administration must submit an initial Pediatric Study Plan within 60 days of an end-of-Phase 2 meeting or, if there is no such meeting, as early as practicable before initiation of the Phase 3 or Phase 2/3 study.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Pediatric Study Plan. A sponsor can submit amendments to an agreed-upon initial Pediatric Study Plan at any time if changes to the pediatric plan need to be considered based on data collected from preclinical studies, early phase clinical trials and/or other clinical development programs. PREA does not apply to a drug for an indication for which orphan drug designation has been granted.</w:t>
      </w:r>
    </w:p>
    <w:p>
      <w:pPr>
        <w:spacing w:after="0" w:line="195"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2"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The FDA may refer an application for a novel drug or a drug that presents difficult questions of safety or efficacy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FDA also may require the submission of a Risk Evaluation and Mitigation Strategy, or REMS, if it determines that a REMS is necessary to ensure that the benefits of the drug outweigh its risks and to assure the safe use of the drug. A REMS may include one or more elements, including medication guides, physician communication plans, patient package insert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NDA must submit a proposed REMS. The FDA will not approve the NDA without a REMS, if required.</w:t>
      </w:r>
    </w:p>
    <w:p>
      <w:pPr>
        <w:spacing w:after="0" w:line="186"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specifications. Additionally, before approving an NDA, the FDA may inspect one or more clinical trial sites to assure compliance with cGCP requirements.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If a Complete Response Letter is issued, the applicant may either resubmit the NDA,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8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product intended to treat a rare disease or condition, which is generally a disease or condition that affects either (i) fewer than 200,000 individuals in the U.S., or (ii) more than 200,000 individuals in the U.S. and for which there is no reasonable expectation that the cost of developing and making the product available in the U.S.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w:t>
      </w:r>
    </w:p>
    <w:p>
      <w:pPr>
        <w:spacing w:after="0" w:line="186"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 product exclusivity. Orphan product exclusivity means that the FDA may not approve any other applications to market the same product for the same indication for seven years, except in certain limited circumstances. If a drug designated as an orphan drug ultimately receives marketing approval for an indication broader than what it was designated for,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U.S. lawmakers have also recently raised the possibility that regulatory or legislative changes might need to be made to the Orphan Drug Act to foster competition. This includes the introduction of legislation that, if adopted into law, would require us to demonstrate to the FDA that AMX0035 would be economically unviable when facing competition to maintain our exclusivity.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Priority Review Programs</w:t>
      </w:r>
    </w:p>
    <w:p>
      <w:pPr>
        <w:spacing w:after="0" w:line="22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Designation and accelerated approval, and the purpose of these programs is to either expedite the development or review of important new drugs to get them to patients earlier than under standard FDA development and review procedures.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2" w:name="page33"/>
    <w:bookmarkEnd w:id="32"/>
    <w:p>
      <w:pPr>
        <w:ind w:right="60" w:firstLine="749"/>
        <w:spacing w:after="0" w:line="272" w:lineRule="auto"/>
        <w:rPr>
          <w:sz w:val="20"/>
          <w:szCs w:val="20"/>
          <w:color w:val="auto"/>
        </w:rPr>
      </w:pPr>
      <w:r>
        <w:rPr>
          <w:rFonts w:ascii="Times New Roman" w:cs="Times New Roman" w:eastAsia="Times New Roman" w:hAnsi="Times New Roman"/>
          <w:sz w:val="17"/>
          <w:szCs w:val="17"/>
          <w:color w:val="auto"/>
        </w:rPr>
        <w:t>The FDA has a FastTrack program that is intended to expedite or facilitate the process for reviewing new drugs that meet certain criteria. Specifically, new drugs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A product may also be eligible for priority review if it treats a serious or life-threatening condition and, if approved, would provide a significant improvement in safety and effectiveness compared to available therapies. The FDA determines at the time that the marketing application is submitted, on a case-by-case basis, whether the proposed drug represents a significant improvement in treatment, prevention or diagnosis of disease when compared with other available therapies. The FDA will attempt to direct additional resources to the evaluation of an application for a new drug designated for priority review in an effort to facilitate the review and to shorten the FDA’s goal for taking action on an NDA for a new molecular entity from ten months to six months from the date of filing.</w:t>
      </w:r>
    </w:p>
    <w:p>
      <w:pPr>
        <w:spacing w:after="0" w:line="19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may require that a sponsor perform adequate and well-controlled post-marketing confirmatory trials with due diligence and, under the Food and Drug Omnibus Reform Act of 2022, or FDORA, the FDA is now permitted to require, as appropriate, that such trials be underway prior to approval or within a specific time period after the date accelerated approval is granted. Under FDORA, the FDA also has increased authority for expedited procedures to withdraw approval of a drug or indication approved under accelerated approval if, for example, the confirmatory trial fails to verify the predicted clinical benefit of the product. In addition, the FDA generally requires, unless otherwise informed by the agency, pre-approval of promotional materials for products considered for accelerated approval, which could adversely impact the timing of the commercial launch of the product.</w:t>
      </w:r>
    </w:p>
    <w:p>
      <w:pPr>
        <w:spacing w:after="0" w:line="191"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and Priority Review designation do not change the standards for approval, but may expedite the development or review process. Drugs granted accelerated approval also must meet the same statutory standards for safety and effectiveness as those granted traditional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Non-Patent Exclusivity</w:t>
      </w:r>
    </w:p>
    <w:p>
      <w:pPr>
        <w:spacing w:after="0" w:line="22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Data exclusivity provisions under the FDCA can delay the submission or the approval of certain follow-on applications. The FDCA provides a five-year period of data exclusivity within the U.S. to the first applicant to gain approval of an NDA for an NCE. A drug is an NCE if the FDA has not previously approved any other new drug containing the same active moiety, which is the molecule or ion responsible for the action of the drug substance. During the exclusivity period, the FDA may not accept for review an ANDA for a generic version of the drug or a 505(b)(2) NDA for another version of such drug where the applicant does not own or have a legal right of reference to all the data required for approval. However, such a follow-on application may be submitted after four years if it contains a certification of patent invalidity or non-infringement.</w:t>
      </w:r>
    </w:p>
    <w:p>
      <w:pPr>
        <w:spacing w:after="0" w:line="186"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The FDA has previously taken the position that NCE exclusivity is not available for fixed-dose combination products if one of the active moieties in the combination product had been previously approved in a drug product. In October 2014, however, the FDA reversed that position when it issued final guidance stating that an application for a fixed-dose combination product will be eligible for 5-year NCE exclusivity if it contains a drug substance with a single, new active moiety, even if the fixed-combination also contains a drug substance with a previously approved active moiety.</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8" w:right="419" w:bottom="1440" w:gutter="0" w:footer="0" w:header="0"/>
        </w:sectPr>
      </w:pPr>
    </w:p>
    <w:bookmarkStart w:id="33" w:name="page34"/>
    <w:bookmarkEnd w:id="33"/>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FDCA also provides three years of market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period covers only the conditions of use associated with the new clinical investigations and does not prohibit the FDA from approving follow-on applications that do not reference the protected clinical data.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U.S. Pediatric exclusivity, if granted, adds six months to existing regulatory exclusivity periods for all formulations, dosage forms, and indications of the active moiety and patent terms. This six-month exclusivity may be granted based on the voluntary completion of a pediatric trial in accordance with an FDA-issued “Written Request” for such a trial, provided that at the time pediatric exclusivity is granted there is not less than nine months of term remaining.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w:t>
      </w:r>
    </w:p>
    <w:p>
      <w:pPr>
        <w:spacing w:after="0" w:line="182" w:lineRule="exact"/>
        <w:rPr>
          <w:sz w:val="20"/>
          <w:szCs w:val="20"/>
          <w:color w:val="auto"/>
        </w:rPr>
      </w:pPr>
    </w:p>
    <w:p>
      <w:pPr>
        <w:ind w:right="180" w:firstLine="749"/>
        <w:spacing w:after="0" w:line="265"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77"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facilities and in accordance with cGMP regulations which require, among other things, quality control and quality assurance, the maintenance of records and documentation and the obligation to investigate and correct any deviations from cGMP. In addition, drug manufacturers and other entities involved in the manufacture and distribution of approved drugs, including those supply products, ingredients and components thereof, are required to register their establishments with the FDA and state agencies, and are subject to periodic unannounced inspections by the FDA and these state agencies for compliance with cGMP requirements. In addition, the Drug Supply Chain Security Act, or DSCSA, was enacted in 2013 with the aim of building an electronic system to identify and trace certain prescription drugs and biologics distributed in the United States. The DSCSA mandates phased-in and resource-intensive obligations for pharmaceutical manufacturers, wholesale distributors, and dispensers over a 10-year period that culminated in November 2023. The FDA established a one-year stabilization period from November 2023 to November 2024 for trading partners to continue to build and validate interoperable systems and processes to meet certain requirements of the DSCSA. The law's requirements include the quarantine and prompt investigation of a suspect product, to determine if it is illegitimate, notifying trading partners and the FDA of any illegitimate product, and compliance with product tracking and tracing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Once an approval of a drug is granted, the FDA may withdraw the approval if compliance with regulatory requirements and standards is not maintained or if problems occur after the product reaches the market, such as if, based on new evidence of clinical experience not contained in the application or not available to the FDA until after the application was approved, there is a lack of substantial evidence that the approved product will have the effect it is purported or represented to have under the conditions of use prescribed, recommended, or suggested in its labeling. Sponsors may also voluntarily withdrawal their approved products from the market for similar reasons.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4" w:name="page35"/>
    <w:bookmarkEnd w:id="34"/>
    <w:p>
      <w:pPr>
        <w:ind w:right="440"/>
        <w:spacing w:after="0" w:line="281" w:lineRule="auto"/>
        <w:rPr>
          <w:sz w:val="20"/>
          <w:szCs w:val="20"/>
          <w:color w:val="auto"/>
        </w:rPr>
      </w:pPr>
      <w:r>
        <w:rPr>
          <w:rFonts w:ascii="Times New Roman" w:cs="Times New Roman" w:eastAsia="Times New Roman" w:hAnsi="Times New Roman"/>
          <w:sz w:val="18"/>
          <w:szCs w:val="18"/>
          <w:color w:val="auto"/>
        </w:rPr>
        <w:t>or other restrictions under a REMS program. Any of these limitations on approval or marketing could restrict the commercial promotion, distribution, prescription or dispensing of products. Other potential consequences include, among other things:</w:t>
      </w:r>
    </w:p>
    <w:p>
      <w:pPr>
        <w:spacing w:after="0" w:line="55" w:lineRule="exact"/>
        <w:rPr>
          <w:sz w:val="20"/>
          <w:szCs w:val="20"/>
          <w:color w:val="auto"/>
        </w:rPr>
      </w:pPr>
    </w:p>
    <w:p>
      <w:pPr>
        <w:ind w:left="90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withdrawal of product approvals;</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drug products for which we obtain marketing approval. Arrangements with third-party payors, healthcare providers and physicians, as well as patients and other third-parties, in connection with the clinical research, sales, marketing and promotion of products, once approved, and related activities, may expose a pharmaceutical manufacturer to broadly applicable fraud and abuse and other healthcare laws and regulations. In the U.S., these laws include, without limitation, state and federal anti-kickback, false claims, physician transparency, and patient data privacy and security laws and regulations, including but not limited to those described below:</w:t>
      </w:r>
    </w:p>
    <w:p>
      <w:pPr>
        <w:spacing w:after="0" w:line="78" w:lineRule="exact"/>
        <w:rPr>
          <w:sz w:val="20"/>
          <w:szCs w:val="20"/>
          <w:color w:val="auto"/>
        </w:rPr>
      </w:pPr>
    </w:p>
    <w:p>
      <w:pPr>
        <w:ind w:left="900" w:right="40" w:hanging="263"/>
        <w:spacing w:after="0" w:line="254"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or AKS, which makes it illegal for any person or entity,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under a federal healthcare program, such as the Medicare and Medicaid programs. The AKS has been interpreted to apply to arrangements between therapeutic product manufacturers on one hand and prescribers, purchasers, and formulary managers on the other. A person or entity does not need to have actual knowledge of the statute or specific intent to violate it in order to have committed a violation. Further, courts have found that if “one purpose” of remuneration is to induce referrals, the AKS is violated. In addition, the government may assert that a claim including items or services resulting from a violation of the AKS constitutes a false or fraudulent claim for purposes of the federal False Claims Act, or FCA;</w:t>
      </w:r>
    </w:p>
    <w:p>
      <w:pPr>
        <w:spacing w:after="0" w:line="78" w:lineRule="exact"/>
        <w:rPr>
          <w:rFonts w:ascii="Times New Roman" w:cs="Times New Roman" w:eastAsia="Times New Roman" w:hAnsi="Times New Roman"/>
          <w:sz w:val="18"/>
          <w:szCs w:val="18"/>
          <w:color w:val="auto"/>
        </w:rPr>
      </w:pPr>
    </w:p>
    <w:p>
      <w:pPr>
        <w:ind w:left="900" w:right="80" w:hanging="263"/>
        <w:spacing w:after="0" w:line="25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can be enforced by private citizens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Manufacturers can be held liable under the federal False Claims Act even when they do not submit claims directly to government payors if they are deemed to “cause” the submission of false or fraudulent claims.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 Similar to the AKS, a person or entity does not need to have actual knowledge of these statutes or specific intent to violate them in order to have committed a violation.</w:t>
      </w:r>
    </w:p>
    <w:p>
      <w:pPr>
        <w:spacing w:after="0" w:line="80" w:lineRule="exact"/>
        <w:rPr>
          <w:rFonts w:ascii="Times New Roman" w:cs="Times New Roman" w:eastAsia="Times New Roman" w:hAnsi="Times New Roman"/>
          <w:sz w:val="18"/>
          <w:szCs w:val="18"/>
          <w:color w:val="auto"/>
        </w:rPr>
      </w:pPr>
    </w:p>
    <w:p>
      <w:pPr>
        <w:ind w:left="900" w:right="120" w:hanging="263"/>
        <w:spacing w:after="0" w:line="26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35" w:name="page36"/>
    <w:bookmarkEnd w:id="35"/>
    <w:p>
      <w:pPr>
        <w:ind w:left="900"/>
        <w:spacing w:after="0" w:line="258" w:lineRule="auto"/>
        <w:rPr>
          <w:sz w:val="20"/>
          <w:szCs w:val="20"/>
          <w:color w:val="auto"/>
        </w:rPr>
      </w:pPr>
      <w:r>
        <w:rPr>
          <w:rFonts w:ascii="Times New Roman" w:cs="Times New Roman" w:eastAsia="Times New Roman" w:hAnsi="Times New Roman"/>
          <w:sz w:val="18"/>
          <w:szCs w:val="18"/>
          <w:color w:val="auto"/>
        </w:rPr>
        <w:t>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Like the AKS, the Patient Protection and Affordable Care Act, or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74" w:lineRule="exact"/>
        <w:rPr>
          <w:sz w:val="20"/>
          <w:szCs w:val="20"/>
          <w:color w:val="auto"/>
        </w:rPr>
      </w:pPr>
    </w:p>
    <w:p>
      <w:pPr>
        <w:ind w:left="900" w:right="140" w:hanging="263"/>
        <w:spacing w:after="0" w:line="25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78" w:lineRule="exact"/>
        <w:rPr>
          <w:rFonts w:ascii="Times New Roman" w:cs="Times New Roman" w:eastAsia="Times New Roman" w:hAnsi="Times New Roman"/>
          <w:sz w:val="18"/>
          <w:szCs w:val="18"/>
          <w:color w:val="auto"/>
        </w:rPr>
      </w:pPr>
    </w:p>
    <w:p>
      <w:pPr>
        <w:ind w:left="900" w:right="20" w:hanging="263"/>
        <w:spacing w:after="0" w:line="25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ACA, and its implementing regulations, which require manufacturers of drugs, devices, biologics and medical supplies for which payment is available under Medicare, Medicaid or the Children’s Health Insurance Program to report annually to the Centers for Medicare and Medicaid Services, or CMS, under the Open Payments Program, information related to payments or other transfers of value made to physicians (defined to include doctors, dentists, optometrists, podiatrists and chiropractors), to certain non-physician providers such as physician assistants and nurse practitioners, and to teaching hospitals, as well as ownership and investment interests held by physicians and their immediate family members;</w:t>
      </w:r>
    </w:p>
    <w:p>
      <w:pPr>
        <w:spacing w:after="0" w:line="77" w:lineRule="exact"/>
        <w:rPr>
          <w:rFonts w:ascii="Times New Roman" w:cs="Times New Roman" w:eastAsia="Times New Roman" w:hAnsi="Times New Roman"/>
          <w:sz w:val="18"/>
          <w:szCs w:val="18"/>
          <w:color w:val="auto"/>
        </w:rPr>
      </w:pPr>
    </w:p>
    <w:p>
      <w:pPr>
        <w:ind w:left="900" w:right="40" w:hanging="263"/>
        <w:spacing w:after="0" w:line="28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rFonts w:ascii="Times New Roman" w:cs="Times New Roman" w:eastAsia="Times New Roman" w:hAnsi="Times New Roman"/>
          <w:sz w:val="18"/>
          <w:szCs w:val="18"/>
          <w:color w:val="auto"/>
        </w:rPr>
      </w:pPr>
    </w:p>
    <w:p>
      <w:pPr>
        <w:ind w:left="900" w:right="360" w:hanging="263"/>
        <w:spacing w:after="0" w:line="28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4" w:lineRule="exact"/>
        <w:rPr>
          <w:rFonts w:ascii="Times New Roman" w:cs="Times New Roman" w:eastAsia="Times New Roman" w:hAnsi="Times New Roman"/>
          <w:sz w:val="18"/>
          <w:szCs w:val="18"/>
          <w:color w:val="auto"/>
        </w:rPr>
      </w:pPr>
    </w:p>
    <w:p>
      <w:pPr>
        <w:ind w:left="900" w:right="40" w:hanging="263"/>
        <w:spacing w:after="0" w:line="253"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9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we become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U.S. will also likely be subject to foreign equivalents of the healthcare laws mentioned above, among other foreign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6" w:name="page37"/>
    <w:bookmarkEnd w:id="36"/>
    <w:p>
      <w:pPr>
        <w:ind w:right="100" w:firstLine="749"/>
        <w:spacing w:after="0" w:line="268" w:lineRule="auto"/>
        <w:rPr>
          <w:sz w:val="20"/>
          <w:szCs w:val="20"/>
          <w:color w:val="auto"/>
        </w:rPr>
      </w:pPr>
      <w:r>
        <w:rPr>
          <w:rFonts w:ascii="Times New Roman" w:cs="Times New Roman" w:eastAsia="Times New Roman" w:hAnsi="Times New Roman"/>
          <w:sz w:val="17"/>
          <w:szCs w:val="17"/>
          <w:color w:val="auto"/>
        </w:rPr>
        <w:t>In the U.S., numerous federal and state laws and regulations, including state data breach notification laws, state and federal health information privacy laws, and federal and state consumer protection laws, govern the collection, use, disclosure, and protection of health-related and other personal information. For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State Attorney General has submitted various versions of final regulations. Since July 1, 2020, the California State Attorney General has had the authority to commence enforcement actions against violators. Further, a California privacy law, the California Privacy Rights Act, or CPRA, was passed by California voters on November 3, 2020 and entered into force on January 1, 2023. The CPRA creates additional obligations with respect to processing and storing personal information. We will continue to monitor developments related to the CPRA and anticipate additional costs and expenses associated with CPRA compliance. Other U.S. states also are considering omnibus privacy legislation (with one additional law already passed in Colorado, Connecticut, Utah and Virginia) and industry organizations regularly adopt and advocate for new standards in these areas. While the CCPA, as modified by the CPRA contain an exception for certain activities involving PHI under HIPAA, we cannot yet determine the impact the CCPA, CPRA or other such future laws, regulations and standards may have on our business, as these laws either do not yet apply to us or are not yet in effect.</w:t>
      </w:r>
    </w:p>
    <w:p>
      <w:pPr>
        <w:spacing w:after="0" w:line="180" w:lineRule="exact"/>
        <w:rPr>
          <w:sz w:val="20"/>
          <w:szCs w:val="20"/>
          <w:color w:val="auto"/>
        </w:rPr>
      </w:pPr>
    </w:p>
    <w:p>
      <w:pPr>
        <w:jc w:val="both"/>
        <w:ind w:right="540" w:firstLine="749"/>
        <w:spacing w:after="0" w:line="265" w:lineRule="auto"/>
        <w:rPr>
          <w:sz w:val="20"/>
          <w:szCs w:val="20"/>
          <w:color w:val="auto"/>
        </w:rPr>
      </w:pPr>
      <w:r>
        <w:rPr>
          <w:rFonts w:ascii="Times New Roman" w:cs="Times New Roman" w:eastAsia="Times New Roman" w:hAnsi="Times New Roman"/>
          <w:sz w:val="18"/>
          <w:szCs w:val="18"/>
          <w:color w:val="auto"/>
        </w:rPr>
        <w:t>In the event we decide to conduct clinical trials or continue to enroll subjects in our ongoing or future clinical trials, we may be subject to additional privacy restrictions, under state and federal law or other obligations. We also may become subject to laws in other countries, including the General Data Protection Regulation in Europe.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U.S. Healthcare Reform Legislation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the Medicare Part D coverage gap discount program, in which manufacturers must agree to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9"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For example,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In addition, other legislative changes have been proposed and adopted in the U.S. since the ACA was enacted. The Budget Control Act of 2011 and subsequence legislation, among other things, created measures for spending reductions by Congress that include aggregate reductions of Medicare payments to providers of 2% per fiscal year, which remain in effect through 2031. The American Taxpayer Relief Act of 2012 further reduced Medicare payments to several providers, including hospitals and cancer treatment centers, and increased the statute of limitations period for the government to recover overpayments to providers from three to five years. The American Rescue Plan Act of 2021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7" w:name="page38"/>
    <w:bookmarkEnd w:id="37"/>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 Budget Control Act of 2011 and subsequence legislation, among other things, created measures for spending reductions by Congress that include aggregate reductions of Medicare payments to providers of 2% per fiscal year, which remain in effect through 2031. The American Taxpayer Relief Act of 2012 further reduced Medicare payments to several providers, including hospitals and cancer treatment centers, and increased the statute of limitations period for the government to recover overpayments to providers from three to five years. The American Rescue Plan Act of 2021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Review and Approval Process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Canada, our small molecule product candidates and our research and development activities are primarily regulated by the Food and Drugs Act and the rules and regulations thereunder, which are enforced by Health Canada. Health Canada regulates, among other things, the research, development, testing, approval, manufacture, packaging, labeling, storage, recordkeeping, advertising, promotion, distribution, marketing, post-approval monitoring and import and export of pharmaceutical products. The drug approval process under Canadian laws requires licensing of manufacturing facilities, carefully controlled research and testing of products, government review and approval of experimental results prior to granting approval for commercial sale of drug products. Regulators also typically require that rigorous and specific standards such as cGMP, Good Laboratory Practices, or GLP, and Continuing Good Clinical Practices, or cGCP, are followed in the manufacture, nonclinical development and clinical development, respectively, of any drug product. The processes for obtaining regulatory approvals in Canada, along with subsequent compliance with applicable statutes and regulations, require the expenditure of substantial time and financial resources. For further information, see “Risk Factors.”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principal steps required for drug approval in Canada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Safety Pharmacology and Toxicology Studies</w:t>
      </w:r>
    </w:p>
    <w:p>
      <w:pPr>
        <w:spacing w:after="0" w:line="225" w:lineRule="exact"/>
        <w:rPr>
          <w:sz w:val="20"/>
          <w:szCs w:val="20"/>
          <w:color w:val="auto"/>
        </w:rPr>
      </w:pPr>
    </w:p>
    <w:p>
      <w:pPr>
        <w:ind w:right="600" w:firstLine="749"/>
        <w:spacing w:after="0" w:line="267" w:lineRule="auto"/>
        <w:rPr>
          <w:sz w:val="20"/>
          <w:szCs w:val="20"/>
          <w:color w:val="auto"/>
        </w:rPr>
      </w:pPr>
      <w:r>
        <w:rPr>
          <w:rFonts w:ascii="Times New Roman" w:cs="Times New Roman" w:eastAsia="Times New Roman" w:hAnsi="Times New Roman"/>
          <w:sz w:val="18"/>
          <w:szCs w:val="18"/>
          <w:color w:val="auto"/>
        </w:rPr>
        <w:t xml:space="preserve">Non-clinical studies are conducted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Similar regulations apply in Canada regarding clinical trials as in the U.S. In Canada, Research Ethics Boards, or REBs, are used to review and approve clinical trial plans when trials are performed in Canada. For clinical trials that involve the administration of an investigational new drug to human subjects, an application must be made to Health Canada and approved before the trial can commence at a Canadian site. Trials are performed under the supervision of qualified investigators, in most cases a physician, in accordance with cGCP requirements. Clinical trials are conducted under protocols detailing, among other things, the objectives of the trial, the trial procedures, the parameters to be used in monitoring safety and the efficacy criteria to be evaluated and a statistical analysis plan. The protocol and the informed consent forms that are signed by subjects, are reviewed and approved by the REB affiliated with the site where the trial will be conducted. Human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38" w:name="page39"/>
    <w:bookmarkEnd w:id="38"/>
    <w:p>
      <w:pPr>
        <w:jc w:val="both"/>
        <w:ind w:right="780"/>
        <w:spacing w:after="0" w:line="265" w:lineRule="auto"/>
        <w:rPr>
          <w:sz w:val="20"/>
          <w:szCs w:val="20"/>
          <w:color w:val="auto"/>
        </w:rPr>
      </w:pPr>
      <w:r>
        <w:rPr>
          <w:rFonts w:ascii="Times New Roman" w:cs="Times New Roman" w:eastAsia="Times New Roman" w:hAnsi="Times New Roman"/>
          <w:sz w:val="18"/>
          <w:szCs w:val="18"/>
          <w:color w:val="auto"/>
        </w:rPr>
        <w:t>clinical trials for new drugs are typically conducted in three sequential phases, Phase 1, Phase 2 and Phase 3, as discussed above in the context of government regulation in the U.S. Similar to the FDA, Health Canada also accepts foreign clinical trial data in support of marketing applications. Additionally, the manufacture of investigational drugs for the conduct of human clinical trials is subject to cGMP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Submission</w:t>
      </w:r>
    </w:p>
    <w:p>
      <w:pPr>
        <w:spacing w:after="0" w:line="22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In Canada, upon successful completion of Phase 3 clinical trials or earlier stage trials if agreeable to Health Canada, the company sponsoring a new drug then assembles all the nonclinical and clinical data and other testing relating to the product’s pharmacology, chemistry, manufacture, and controls, and submits it to Health Canada as part of an NDS The NDS is then reviewed by Health Canada.</w:t>
      </w:r>
    </w:p>
    <w:p>
      <w:pPr>
        <w:spacing w:after="0" w:line="177" w:lineRule="exact"/>
        <w:rPr>
          <w:sz w:val="20"/>
          <w:szCs w:val="20"/>
          <w:color w:val="auto"/>
        </w:rPr>
      </w:pPr>
    </w:p>
    <w:p>
      <w:pPr>
        <w:ind w:right="240" w:firstLine="749"/>
        <w:spacing w:after="0" w:line="260" w:lineRule="auto"/>
        <w:rPr>
          <w:sz w:val="20"/>
          <w:szCs w:val="20"/>
          <w:color w:val="auto"/>
        </w:rPr>
      </w:pPr>
      <w:r>
        <w:rPr>
          <w:rFonts w:ascii="Times New Roman" w:cs="Times New Roman" w:eastAsia="Times New Roman" w:hAnsi="Times New Roman"/>
          <w:sz w:val="18"/>
          <w:szCs w:val="18"/>
          <w:color w:val="auto"/>
        </w:rPr>
        <w:t>Health Canada will not approve the new drug unless compliance with cGMP—a quality system regulating manufacturing—is satisfactory, and the NDS contains data that provide substantial evidence that the drug is safe and effective in the indication and at the dosage studied. If Health Canada is satisfied that the NDS contains sufficient information, then marketing authorization for the new drug may be granted. In Canada, the marketing authorization for a new drug is called a Notice of Compliance, or NOC.</w:t>
      </w:r>
    </w:p>
    <w:p>
      <w:pPr>
        <w:spacing w:after="0" w:line="3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testing required to generate data for inclusion in an NDS, and approval process for an NDS, requires substantial time, effort and financial resources, and may take several years to complete. This is necessary to help ensure the efficacy, safety and quality of the product. Data obtained from nonclinical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spacing w:after="0" w:line="398"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Health Canada has authority to grant conditional marketing approval following the review of an NDS for a new drug that would treat a serious, life-threatening or severely debilitating disease or condition. A Notice of Compliance with conditions (NOC/c) can be granted when there is promising evidence of clinical effectiveness based on the available data that the drug has the potential to provide (i) effective treatment, prevention or diagnosis of a disease or condition for which no drug is presently marketed in Canada or (ii) a significant increase in efficacy and/or significant decrease in risk such that the overall benefit/risk profile is improved over existing therapies, preventatives or diagnostic agents for a disease or condition that is not adequately managed by a drug marketed in Canada. When a NOC/c is granted, the company to which the NOC/c is issued must make certain commitments to Health Canada, which typically include a requirement to provide confirmatory data to Health Canada to support the safe use and efficacy of the new drug.</w:t>
      </w:r>
    </w:p>
    <w:p>
      <w:pPr>
        <w:spacing w:after="0" w:line="200" w:lineRule="exact"/>
        <w:rPr>
          <w:sz w:val="20"/>
          <w:szCs w:val="20"/>
          <w:color w:val="auto"/>
        </w:rPr>
      </w:pPr>
    </w:p>
    <w:p>
      <w:pPr>
        <w:spacing w:after="0" w:line="202" w:lineRule="exact"/>
        <w:rPr>
          <w:sz w:val="20"/>
          <w:szCs w:val="20"/>
          <w:color w:val="auto"/>
        </w:rPr>
      </w:pPr>
    </w:p>
    <w:p>
      <w:pPr>
        <w:ind w:right="440" w:firstLine="749"/>
        <w:spacing w:after="0" w:line="260" w:lineRule="auto"/>
        <w:rPr>
          <w:sz w:val="20"/>
          <w:szCs w:val="20"/>
          <w:color w:val="auto"/>
        </w:rPr>
      </w:pPr>
      <w:r>
        <w:rPr>
          <w:rFonts w:ascii="Times New Roman" w:cs="Times New Roman" w:eastAsia="Times New Roman" w:hAnsi="Times New Roman"/>
          <w:sz w:val="18"/>
          <w:szCs w:val="18"/>
          <w:color w:val="auto"/>
        </w:rPr>
        <w:t>Even if Health Canada approves a product candidate, it may limit the approved indications for use of the product candidate,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39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review and approval before the change can be implemented. Further, should new safety information arise, additional testing and/or regulatory notification may be required, or Health Canada may require an update to the product label that impacts the scope of the approved indications or other conditions for clinical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Approval Process</w:t>
      </w:r>
    </w:p>
    <w:p>
      <w:pPr>
        <w:spacing w:after="0" w:line="229" w:lineRule="exact"/>
        <w:rPr>
          <w:sz w:val="20"/>
          <w:szCs w:val="20"/>
          <w:color w:val="auto"/>
        </w:rPr>
      </w:pPr>
    </w:p>
    <w:p>
      <w:pPr>
        <w:jc w:val="both"/>
        <w:ind w:right="60" w:firstLine="749"/>
        <w:spacing w:after="0" w:line="260" w:lineRule="auto"/>
        <w:rPr>
          <w:sz w:val="20"/>
          <w:szCs w:val="20"/>
          <w:color w:val="auto"/>
        </w:rPr>
      </w:pPr>
      <w:r>
        <w:rPr>
          <w:rFonts w:ascii="Times New Roman" w:cs="Times New Roman" w:eastAsia="Times New Roman" w:hAnsi="Times New Roman"/>
          <w:sz w:val="18"/>
          <w:szCs w:val="18"/>
          <w:color w:val="auto"/>
        </w:rPr>
        <w:t>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9" w:name="page40"/>
    <w:bookmarkEnd w:id="39"/>
    <w:p>
      <w:pPr>
        <w:ind w:right="180"/>
        <w:spacing w:after="0" w:line="258" w:lineRule="auto"/>
        <w:rPr>
          <w:sz w:val="20"/>
          <w:szCs w:val="20"/>
          <w:color w:val="auto"/>
        </w:rPr>
      </w:pPr>
      <w:r>
        <w:rPr>
          <w:rFonts w:ascii="Times New Roman" w:cs="Times New Roman" w:eastAsia="Times New Roman" w:hAnsi="Times New Roman"/>
          <w:sz w:val="18"/>
          <w:szCs w:val="18"/>
          <w:color w:val="auto"/>
        </w:rPr>
        <w:t>EU Following the UK’s departure from the EU, a separate marketing authorization is required in order to place medicinal products on the market in Great Britain (under the Northern Ireland Protocol, the EU regulatory framework continues to apply in Northern Ireland and centralized EU authorizations continue to be recognized). In January 2024, developers of new medicinal products can now submit applications under the Medicines and Healthcare products Regulatory Agency's, or MHRA, International Recognition Procedure, or IRP. IRP will be open to products that already received an approval from one of MHRA’s specified Reference Regulators which includes the United States and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April 2014, the EU adopted the new Clinical Trials Regulation (EU) No 536/2014, which replaced the Clinical Trials Directive 2001/20/EC on January 31, 2022. The transitory provisions of the new Regulation provide that, by January 31, 2025, all ongoing clinical trials must have transitioned to the new Regulation. The new Regulation overhauls the system of approvals for clinical trials in the EU. Specifically, it is directly applicable in all Member States (meaning that no national implementing legislation in each Member State is required), and aims at simplifying and streamlining the approval of clinical trials in the EU. The main characteristics of the new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Member States of the EU, or EU Member States, in which an application for authorization of a clinical trial has been submitted (Concerned Member States) of a draft report prepared by a Reference Member State. Part II is assessed separately by each Concerned Member State. Strict deadlines have been established for the assessment of clinical trial applications.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where the marketing authorization application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EMA’s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Fixed-Dose Combination Guideline</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with the FDA, the EMA has also issued guidelines to address review and approval of fixed-dose combination products. This EMA’s Guideline on clinical development of fixed combination medicinal products came into force on October 1, 2017. The basic scientific requirements for any fixed combination medicinal product are justification of the pharmacological and medical rationale for the combination, and establishment of the evidence base for the relevant contribution of all active substances to the desired therapeutic effect (efficacy and/or safety) and a positive benefit-risk for the combination in the targeted indication. For products that involve initial combination of two active ingredients, the EMA has indicated that the design of clinical efficacy/safety studies to support a fixed combination medicinal product application for initial treatment will depend on its rationale, specifically to achieve superior efficacy or improved safety compared to use of the single active substances. In situations when it has been established that monotherapy will not be adequate, appropriate or ethical to reach the desired therapeutic effect, initial use of combination therapy should be easily justified (e.g., HIV).</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To obtain a marketing authorization for a product in the European Economic Area (i.e., the EU as well as Iceland, Liechtenstein and Norway), or EEA,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EEA.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 (for example,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the pediatric clinical trials conducted in accordance with the PIP (even where such results are negative) are eligible for six months’ supplementary protection certificate, or SPC, extension (provided an application for such extension is made at the same time as filing the SPC application for the product, or at any point up to 2 years before the SPC expires).</w:t>
      </w:r>
    </w:p>
    <w:p>
      <w:pPr>
        <w:spacing w:after="0" w:line="18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across the EEA. Pursuant to Regulation (EC) No 726/2004, the centralized procedure is compulsory for specific products, including for medicines produced by certain biotechnological processes, products designated as orphan medicinal products, advanced therapy medicinal products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gene therapy, somatic-cell therapy and tissue-engineered medicinal products)and products with a new active substance indicated for the treatment of certain diseases, including HIV, AIDS, cancer, neurodegenerative disorders, diabetes, auto-immune and other immune dysfunctions and viral diseases. For products with a new active substance indicated for the treatment of other diseases and products that are highly innovative or for which a centralized process is in the interest of public health, the centralized procedure is optional. The centralized procedure may at the request of the applicant also be used in certain other cases. We anticipate that the centralized procedure will be mandatory for the product candidates we are developing.</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Where the CHMP gives a positive opinion, the EMA provides the opinion together with supporting documentation to the European Commission, who makes the final decision to grant a marketing authorization, which is issued within 67 days of receipt of the EMA’s recommendation.</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either (i) the indications for which the product in question is intended are encountered so rarely that the applicant cannot reasonably be expected to provide comprehensive evidence; (ii) in the present state of scientific knowledge, comprehensive information cannot be provided; or (iii)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8" w:lineRule="exact"/>
        <w:rPr>
          <w:sz w:val="20"/>
          <w:szCs w:val="20"/>
          <w:color w:val="auto"/>
        </w:rPr>
      </w:pPr>
    </w:p>
    <w:p>
      <w:pPr>
        <w:ind w:left="900" w:right="300" w:hanging="263"/>
        <w:spacing w:after="0" w:line="28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54" w:lineRule="exact"/>
        <w:rPr>
          <w:rFonts w:ascii="Times New Roman" w:cs="Times New Roman" w:eastAsia="Times New Roman" w:hAnsi="Times New Roman"/>
          <w:sz w:val="18"/>
          <w:szCs w:val="18"/>
          <w:color w:val="auto"/>
        </w:rPr>
      </w:pPr>
    </w:p>
    <w:p>
      <w:pPr>
        <w:ind w:left="900" w:right="380" w:hanging="263"/>
        <w:spacing w:after="0" w:line="28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4" w:lineRule="exact"/>
        <w:rPr>
          <w:rFonts w:ascii="Times New Roman" w:cs="Times New Roman" w:eastAsia="Times New Roman" w:hAnsi="Times New Roman"/>
          <w:sz w:val="18"/>
          <w:szCs w:val="18"/>
          <w:color w:val="auto"/>
        </w:rPr>
      </w:pPr>
    </w:p>
    <w:p>
      <w:pPr>
        <w:ind w:left="900" w:right="340" w:hanging="263"/>
        <w:spacing w:after="0" w:line="28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6" w:right="359" w:bottom="1440" w:gutter="0" w:footer="0" w:header="0"/>
        </w:sectPr>
      </w:pPr>
    </w:p>
    <w:bookmarkStart w:id="41" w:name="page42"/>
    <w:bookmarkEnd w:id="41"/>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87"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Marketing Authorization</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or in a public health emergency,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Data exclusivity, if granted, prevents applicants for authorization of generics or biosimilars of these innovative products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innovative medical product so that the innovator gains the prescribed period of data exclusivity, another company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42" w:name="page43"/>
    <w:bookmarkEnd w:id="42"/>
    <w:p>
      <w:pPr>
        <w:ind w:right="300"/>
        <w:spacing w:after="0" w:line="281" w:lineRule="auto"/>
        <w:rPr>
          <w:sz w:val="20"/>
          <w:szCs w:val="20"/>
          <w:color w:val="auto"/>
        </w:rPr>
      </w:pPr>
      <w:r>
        <w:rPr>
          <w:rFonts w:ascii="Times New Roman" w:cs="Times New Roman" w:eastAsia="Times New Roman" w:hAnsi="Times New Roman"/>
          <w:sz w:val="18"/>
          <w:szCs w:val="18"/>
          <w:color w:val="auto"/>
        </w:rPr>
        <w:t>nevertheless could also market another version of the product if such company obtained marketing authorization based on an MAA with a complete and independent data package of pharmaceutical tests, preclinical tests and clinical trials.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(for a centrally authorized product) or by the competent authority of the relevant EU Member State (for a nationally authorized product).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(for a nationally authorized product) within three years after authorization, or if the product is removed from the market for three consecutive years, ceases to be valid (the so-called sunset clause).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incentives it is unlikely that the marketing of the product in the EU would generate sufficient return to justify the necessary investment in its development; and (3) there exists no satisfactory method of diagnosis, prevention or treatment of the condition in question that has been authorized in the EU or, if such method exists, the product will be of significant benefit to those affected by that condition.</w:t>
      </w:r>
    </w:p>
    <w:p>
      <w:pPr>
        <w:spacing w:after="0" w:line="1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Once authorized, orphan medicinal products are entitled to ten years of market exclusivity in all EU Member States and a range of other benefits during the development and regulatory review process including scientific assistance for study protocols, authorization through the centralized marketing authorization procedure and a reduction or elimination of registration and marketing authorization fees. During the period of market exclusivity, a marketing authorization may only be granted for a “similar medicinal product” with the same orphan indication if: (i) the marketing authorization holder for the original orphan medicinal product consents to the authorization of the second orphan medicinal product; (ii) the manufacturer of the original orphan medicinal product is unable to supply sufficient quantities of the product; or (iii) it is established that the second product is safer, more effective or otherwise clinically superior to the original orphan medicinal product. A “similar medicinal product” is defined as a medicinal product containing a similar active substance or substances as contained in an authorized orphan medicinal product, and which is intended for the same therapeutic indication. The period of market exclusivity may, in addition, be reduced to six years if at the end of the fifth year, it is established that the product no longer meets the criteria for orphan designation because, for example, the original orphan medicinal product is sufficiently profitable not to justify maintenance of market exclusivity.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27" w:lineRule="exact"/>
        <w:rPr>
          <w:sz w:val="20"/>
          <w:szCs w:val="20"/>
          <w:color w:val="auto"/>
        </w:rPr>
      </w:pPr>
    </w:p>
    <w:p>
      <w:pPr>
        <w:ind w:right="80" w:firstLine="637"/>
        <w:spacing w:after="0" w:line="281" w:lineRule="auto"/>
        <w:rPr>
          <w:sz w:val="20"/>
          <w:szCs w:val="20"/>
          <w:color w:val="auto"/>
        </w:rPr>
      </w:pPr>
      <w:r>
        <w:rPr>
          <w:rFonts w:ascii="Times New Roman" w:cs="Times New Roman" w:eastAsia="Times New Roman" w:hAnsi="Times New Roman"/>
          <w:sz w:val="18"/>
          <w:szCs w:val="18"/>
          <w:color w:val="auto"/>
        </w:rPr>
        <w:t>Where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5" w:lineRule="exact"/>
        <w:rPr>
          <w:sz w:val="20"/>
          <w:szCs w:val="20"/>
          <w:color w:val="auto"/>
        </w:rPr>
      </w:pPr>
    </w:p>
    <w:p>
      <w:pPr>
        <w:ind w:left="900" w:right="260" w:hanging="263"/>
        <w:spacing w:after="0" w:line="28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4" w:lineRule="exact"/>
        <w:rPr>
          <w:rFonts w:ascii="Times New Roman" w:cs="Times New Roman" w:eastAsia="Times New Roman" w:hAnsi="Times New Roman"/>
          <w:sz w:val="18"/>
          <w:szCs w:val="18"/>
          <w:color w:val="auto"/>
        </w:rPr>
      </w:pPr>
    </w:p>
    <w:p>
      <w:pPr>
        <w:jc w:val="both"/>
        <w:ind w:left="900" w:right="20" w:hanging="263"/>
        <w:spacing w:after="0" w:line="26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2017/1572, Regulation (EC) No 726/2004 and the European Commission Guidelines for Good Manufacturing Practice. These requirements include compliance with EU cGMP standards when manufacturing medicinal products and active pharmaceutical ingredients, including the manufacture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3" w:name="page44"/>
    <w:bookmarkEnd w:id="43"/>
    <w:p>
      <w:pPr>
        <w:jc w:val="center"/>
        <w:ind w:right="80"/>
        <w:spacing w:after="0"/>
        <w:rPr>
          <w:sz w:val="20"/>
          <w:szCs w:val="20"/>
          <w:color w:val="auto"/>
        </w:rPr>
      </w:pPr>
      <w:r>
        <w:rPr>
          <w:rFonts w:ascii="Times New Roman" w:cs="Times New Roman" w:eastAsia="Times New Roman" w:hAnsi="Times New Roman"/>
          <w:sz w:val="18"/>
          <w:szCs w:val="18"/>
          <w:color w:val="auto"/>
        </w:rPr>
        <w:t>active pharmaceutical ingredients outside of the EU with the intention to import the active pharmaceutical ingredients into the EU.</w:t>
      </w:r>
    </w:p>
    <w:p>
      <w:pPr>
        <w:spacing w:after="0" w:line="117" w:lineRule="exact"/>
        <w:rPr>
          <w:sz w:val="20"/>
          <w:szCs w:val="20"/>
          <w:color w:val="auto"/>
        </w:rPr>
      </w:pPr>
    </w:p>
    <w:p>
      <w:pPr>
        <w:ind w:left="900" w:right="200" w:hanging="263"/>
        <w:spacing w:after="0" w:line="26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medicinal products, including industry-sponsored continuing medical education and advertising directed toward the prescribers of medicinal products and/or the general public, are strictly regulated in the EU notably under Directive 2001/83EC, as amended, and are also subject to EU Member State national laws. Direct-to-consumer advertising of prescription medicines is prohibited across the EU.</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Protection Regulation in the European Economic Area and United Kingdom</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EEA, including personal health data, is subject to the EU General Data Protection Regulation, or EU GDPR and similar processing of personal data regarding individuals in the UK is subject to the UK General Data Protection Regulation, or UK GDPR, and the UK Data Protection Act 2018. In this Annual Report, GDPR refers to both the EU GDPR and the UK GDPR, unless specified otherwise.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EEA/UK, including the U.S.,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UK formally left the EU (commonly referred to as “Brexit”) on January 31, 2020, and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continues to apply in Northern Ireland). Except in respect of the new EU Clinical Trials Regulation, the regulatory regime in Great Britain therefore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framework mentioned below which will be put in place by the MHRA, the UK’s medicines regulator, from January 1, 2024, the MHRA has stated that it will take into account decisions on the approval of marketing authorization from the EMA (and certain other regulators) when considering an application for a Great Britain marketing authorization.</w:t>
      </w:r>
    </w:p>
    <w:p>
      <w:pPr>
        <w:spacing w:after="0" w:line="186"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4" w:name="page45"/>
    <w:bookmarkEnd w:id="44"/>
    <w:p>
      <w:pPr>
        <w:ind w:right="160"/>
        <w:spacing w:after="0" w:line="258" w:lineRule="auto"/>
        <w:rPr>
          <w:sz w:val="20"/>
          <w:szCs w:val="20"/>
          <w:color w:val="auto"/>
        </w:rPr>
      </w:pPr>
      <w:r>
        <w:rPr>
          <w:rFonts w:ascii="Times New Roman" w:cs="Times New Roman" w:eastAsia="Times New Roman" w:hAnsi="Times New Roman"/>
          <w:sz w:val="18"/>
          <w:szCs w:val="18"/>
          <w:color w:val="auto"/>
        </w:rPr>
        <w:t>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8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marketing authorizations for centrally authorized products were automatically converted (grandfathered) into Great Britain marketing authorization’s free of charge on January 1, 2021. Since January 1, 2024, a new framework for the approval of marketing authorizations has been put in place, whereby the MHRA may have regard to decisions on the approval of marketing authorizations made by the EMA and certain other regulators when determining an application for a new Great Britain marketing authorization. There is now no pre-marketing authorization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 must not be more than five in 10,000. Should an orphan designation be granted, the period of market exclusivity will be set from the date of first approval of the product in Great Britain.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cost effectiveness assessments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9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Japanese Approval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Government Regulation of Drug Products</w:t>
      </w:r>
    </w:p>
    <w:p>
      <w:pPr>
        <w:spacing w:after="0" w:line="2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Regulatory framework of pharmaceutical products in Japan is based on various laws and regulations, consisting mainly of Pharmaceutical and Medical Device Act ("PMD Act"). The Ministry of Health, Labour and Welfare ("MHLW") is the principal regulatory authority overseeing development, manufacture and commercialization of drugs and medical devices and to instruct as well as supervise drug and medical device companies to secure product quality and safety. The Pharmaceuticals and Medical Devices Agency ("PMDA") is the regulatory agency working together with the MHLW to assure safety, efficacy and quality of products. PMDA is authorized to conduct scientific reviews of clinical trial and marketing authorization applications for drug and medical devices; and monitors their post-marketing safety. The PMDA is also responsible for providing compensation for patients suffering from adverse drug reactions caused by drugs and medical devices.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5" w:name="page46"/>
    <w:bookmarkEnd w:id="45"/>
    <w:p>
      <w:pPr>
        <w:ind w:firstLine="749"/>
        <w:spacing w:after="0" w:line="258" w:lineRule="auto"/>
        <w:rPr>
          <w:sz w:val="20"/>
          <w:szCs w:val="20"/>
          <w:color w:val="auto"/>
        </w:rPr>
      </w:pPr>
      <w:r>
        <w:rPr>
          <w:rFonts w:ascii="Times New Roman" w:cs="Times New Roman" w:eastAsia="Times New Roman" w:hAnsi="Times New Roman"/>
          <w:sz w:val="18"/>
          <w:szCs w:val="18"/>
          <w:color w:val="auto"/>
        </w:rPr>
        <w:t>Overall, being a member of the International Conference on Harmonization (“ICH”), Japan has pharmaceutical regulations fundamentally similar to those of the United States and the EU. Non-clinical studies are performed to demonstrate the health safety of new chemical or biological substances. Non-clinical studies must be conducted in compliance with the principles of Japanese good laboratory practice, or GLP, which reflect the Organization for Economic Co-operation and Development requirements. Currently, Japan and EU have a mutual recognition agreement for GLP, and data generated compliant with EU requirements will be accepted by the Japanese authorities. There is no similar agreement with the United States.</w:t>
      </w:r>
    </w:p>
    <w:p>
      <w:pPr>
        <w:spacing w:after="0" w:line="18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Clinical trials in Japan must be conducted in accordance with Japanese regulations based on ICH guidelines governing good clinical practices, or GCP.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 Prior to the commencement of human clinical studies, the sponsor must complete an evaluation of the safety of the investigative product and submit a clinical trial notification and clinical trial protocol to the authorities in advance, upon agreement of the IRB of the participating institutions. When the authorities do not comment on the notification, the sponsor may proceed with the clinical trial. Any substantial changes to the trial protocol or other information submitted must be cleared by the IRB and notified to the authorities. Medicines used in clinical trials must be manufactured in accordance with GMP.</w:t>
      </w:r>
    </w:p>
    <w:p>
      <w:pPr>
        <w:spacing w:after="0" w:line="18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To market a drug in Japan, we must obtain regulatory approval. To obtain regulatory approval of an investigational drug, we must submit a new drug application. The evaluation of new drug applications is based on an assessment of the risk-benefit balance of the product on the basis of scientific criteria concerning its quality, safety, and efficacy. The volume and quality of the clinical data are key determinants of the approval decision. Clinical trial data generated overseas is accepted as part of the data package consistent with the ICH recommendation. Typically, a clinical trial in Japanese participants is required to ensure that data are extrapolatable for the Japanese population. A data compliance review, on-site inspection for good clinical practice, and audit and detailed data review for compliance with current good manufacturing practices are undertaken by the PMDA. Once the review organization completes its review, the matter is considered by the advisory committee of experts, and the government grants approval upon positive recommendation from the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If the product is designed for treating certain “intractable diseases” or those whose patient size is limited to be less than 50,000 patients, we may be able to obtain designation as an orphan drug product if it demonstrates addressing high medical need. Drugs designated as orphan drugs are entitled to receive financial aid, tax relief on research expenses, reduction of application and consultation fees, PMDA’s guidance and advice, priority review, and extension of the reexamination period up to a maximum of 10 years for drugs. New drug creation premium will also be applied at the time of calculation of drug price for the product.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Priority Review Programs</w:t>
      </w:r>
    </w:p>
    <w:p>
      <w:pPr>
        <w:spacing w:after="0" w:line="227"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The whole approval process takes 12 months under the standard review regime. MHLW has introduced several expedited development or review programs for especially important and innovative drugs, at least including:</w:t>
      </w:r>
    </w:p>
    <w:p>
      <w:pPr>
        <w:spacing w:after="0" w:line="163"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Special Approval System for products required to prevent the spread of diseases that may seriously affect public health, such as COVID-19. This is intended to be used in limited circumstances where there are no other available therapy and the product has been approved for use in certain foreign countries. There are an expedited approval review process, special exceptions made for GMP review, national certification, containers, and packaging and labelling, etc.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for Pharmaceutical Business</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Separate from the approval requirement, it is also mandatory to possess a license of an appropriate class for the manufacturer to commercially distribute the product in Japan. To receive such license, the manufacturer or seller must, at the very least, employ certain manufacturing, marketing, quality, and safety personnel. The licensing requirements for drug manufacturing/marketing businesses include the appointment of a general marketing compliance officer of drugs, etc., who is a pharmacist, and compliance with Good Quality Practice (GQP) for quality control and Good Vigilance Practice (GVP) for post-marketing safety surveillance.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46" w:name="page47"/>
    <w:bookmarkEnd w:id="46"/>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Non-Japanese companies who possess only the product approval may designate an appropriate license holder in Japan to commercially distribute the product, rather than distributing it on its own. The license is valid for five years. PMD Act requires a license for marketing authorization when importing to Japan and selling pharmaceutical products manufactured in other countries. It also requires each manufacturing site of a foreign manufacturer to be certified as a manufacturing site of pharmaceutical products to be marketed in Japan.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227"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Marketing authorization holders must perform post-marketing surveys on new drugs so that efficacy and safety can be reconfirmed by reexamination by the MHLW for a specified period after marketing approval, in general, for at least six years. The concept of the risk management plan has been incorporated in reexamination. In this aspect, applications for generic drugs cannot be filed until completion of the reexamination. Branded products are protected from generics during this period.</w:t>
      </w:r>
    </w:p>
    <w:p>
      <w:pPr>
        <w:spacing w:after="0" w:line="18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Regardless of the type of drugs, MHLW may extend the reexamination period to a period not exceeding 10 years, if the minister believes that the extension is particularly necessary. In general, drugs containing new active ingredients will earn 8 years reexamination period, and drugs with new routes of administration will earn 6 years. There is no specific period for pediatric drugs in this regard, but the reexamination period may be extended (not exceeding 10 years) as needed to collect clinical data required for the reexamination of dosage or administration for pediatric 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Right Protection</w:t>
      </w:r>
    </w:p>
    <w:p>
      <w:pPr>
        <w:spacing w:after="0" w:line="22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 patent term is 20 years from the time of application as a rule. However, if the patent cannot be implemented because of laws and regulations to ensure safety of drugs and regenerative medicine products, etc. the patent term can be extended for a maximum of 5 years. There is also the Orange Book which lists information about drug approval; however, this is not US-style patent linkage. The MHLW will not approve generic drugs until the substance patent or the application patent of the original drug expires and production of the active ingredient becomes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w:t>
      </w:r>
    </w:p>
    <w:p>
      <w:pPr>
        <w:spacing w:after="0" w:line="22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Pricing approval for the product is required in order to be applied for redemption of health insurance. Once approved and marketable, drugs are also subject to regular post-marketing vigilance of safety and quality under the standards of Good Manufacturing Practice. In Japan, the National Health Insurance system maintains a Drug Price List specifying which pharmaceutical products are eligible for reimbursement, and the MHLW sets the prices of the products on this list. Upon marketing approval, the manufacturer or seller begins negotiations regarding the reimbursement price with the MHLW, which is generally determined within 60 to 90 days. Historically, Japan performs scheduled biannual price adjustments as a cost-reduction method but recently there have been additional adjustments in the years in between.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For other countries outside of Canada, the EU and the U.S., such as countries in the Middle East, Africa,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2"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Successful commercialization of new drug products depends in part on the extent to which reimbursement for those drug products will be available from government health administration authorities, private health insurers, and other organizations. In the U.S.,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7" w:name="page48"/>
    <w:bookmarkEnd w:id="47"/>
    <w:p>
      <w:pPr>
        <w:ind w:right="20"/>
        <w:spacing w:after="0" w:line="265" w:lineRule="auto"/>
        <w:rPr>
          <w:sz w:val="20"/>
          <w:szCs w:val="20"/>
          <w:color w:val="auto"/>
        </w:rPr>
      </w:pPr>
      <w:r>
        <w:rPr>
          <w:rFonts w:ascii="Times New Roman" w:cs="Times New Roman" w:eastAsia="Times New Roman" w:hAnsi="Times New Roman"/>
          <w:sz w:val="18"/>
          <w:szCs w:val="18"/>
          <w:color w:val="auto"/>
        </w:rPr>
        <w:t>product. Sales of drug products depend substantially, both domestically and abroad, on the extent to which the costs of drugs products are paid for by health maintenance, managed care, pharmacy benefit and similar healthcare management organizations, or reimbursed by government health administration authorities, private health coverage insurers and other third-party payors.</w:t>
      </w:r>
    </w:p>
    <w:p>
      <w:pPr>
        <w:spacing w:after="0" w:line="17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drug products. 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and foreign approvals. These studies could result in delays or disadvantageous coverage for products we develop.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 If reimbursement is not available or is available only at limited levels, we may not be able to successfully commercialize any product candidate that we successfully develop.</w:t>
      </w:r>
    </w:p>
    <w:p>
      <w:pPr>
        <w:spacing w:after="0" w:line="194"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In many countries, the prices of drug products are subject to varying price control mechanisms as part of national health systems. In general, the prices of drug products under such systems are substantially lower than in the U.S. Other countries allow companies to fix their own prices for drug products, but monitor and control company profits. Accordingly, in markets outside the U.S., the reimbursement for drug products may be reduced compared with the U.S.</w:t>
      </w:r>
    </w:p>
    <w:p>
      <w:pPr>
        <w:spacing w:after="0" w:line="18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the U.S., the principal decisions about reimbursement for new drug products are typically made by CMS, an agency within the HHS. CMS decides whether and to what extent a new drug product will be covered and reimbursed under Medicare, and private payors tend to follow CMS to a substantial degree. However, no uniform policy of coverage and reimbursement for drug products exists among third-party payors and coverage and reimbursement levels for drug products can differ significantly from payor to payor. Coverage and reimbursement by a third-party payor may depend upon a number of factors, including the third-party payor’s determination that use of a drug product is:</w:t>
      </w:r>
    </w:p>
    <w:p>
      <w:pPr>
        <w:spacing w:after="0" w:line="74" w:lineRule="exact"/>
        <w:rPr>
          <w:sz w:val="20"/>
          <w:szCs w:val="20"/>
          <w:color w:val="auto"/>
        </w:rPr>
      </w:pPr>
    </w:p>
    <w:p>
      <w:pPr>
        <w:ind w:left="900" w:hanging="26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Future coverage and reimbursement may be subject to increased restrictions, such as prior authorization requirements, and to changes in the rates of reimbursement for orphan drug products both in the U.S. and in international markets. Reimbursement may impact the demand for, or the price of, any product for which we obtain regulatory approval.</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8" w:name="page49"/>
    <w:bookmarkEnd w:id="48"/>
    <w:p>
      <w:pPr>
        <w:ind w:right="60"/>
        <w:spacing w:after="0" w:line="260" w:lineRule="auto"/>
        <w:rPr>
          <w:sz w:val="20"/>
          <w:szCs w:val="20"/>
          <w:color w:val="auto"/>
        </w:rPr>
      </w:pPr>
      <w:r>
        <w:rPr>
          <w:rFonts w:ascii="Times New Roman" w:cs="Times New Roman" w:eastAsia="Times New Roman" w:hAnsi="Times New Roman"/>
          <w:sz w:val="18"/>
          <w:szCs w:val="18"/>
          <w:color w:val="auto"/>
        </w:rPr>
        <w:t>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82" w:lineRule="exact"/>
        <w:rPr>
          <w:sz w:val="20"/>
          <w:szCs w:val="20"/>
          <w:color w:val="auto"/>
        </w:rPr>
      </w:pPr>
    </w:p>
    <w:p>
      <w:pPr>
        <w:ind w:right="60" w:firstLine="749"/>
        <w:spacing w:after="0" w:line="268" w:lineRule="auto"/>
        <w:rPr>
          <w:sz w:val="20"/>
          <w:szCs w:val="20"/>
          <w:color w:val="auto"/>
        </w:rPr>
      </w:pPr>
      <w:r>
        <w:rPr>
          <w:rFonts w:ascii="Times New Roman" w:cs="Times New Roman" w:eastAsia="Times New Roman" w:hAnsi="Times New Roman"/>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the required 340B discount is determined based on average manufacturer price, or AMP, and Medicaid rebate data, the revisions to the Medicaid rebate formula and AMP definition described above could cause the required 340B discount to increase. The American Recovery and Reinvestment Act of 2009 provides funding for the federal government to compare the effectiveness of different treatments for the same illness. The plan for the research was published in 2012 by HHS, the Agency for Healthcare Research and Quality and the NIH,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product candidates, if any such drug or the condition that they are intended to treat are the subject of a trial. It is also possible that comparative effectiveness research demonstrating benefits in a competitor’s drug could adversely affect the sales of our product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80" w:lineRule="exact"/>
        <w:rPr>
          <w:sz w:val="20"/>
          <w:szCs w:val="20"/>
          <w:color w:val="auto"/>
        </w:rPr>
      </w:pPr>
    </w:p>
    <w:p>
      <w:pPr>
        <w:ind w:right="340" w:firstLine="749"/>
        <w:spacing w:after="0" w:line="265"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7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7"/>
          <w:szCs w:val="17"/>
          <w:color w:val="auto"/>
        </w:rPr>
        <w:t>Outside of the U.S., the pricing of pharmaceutical products is subject to governmental control in many countries. For example, in the EU, pricing and reimbursement schemes vary widely from country to country. Some countries provide that products may be marketed only after a reimbursement price has been agreed. Some countries may require the completion of additional cost effectiveness assessments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As of December 31, 2023, we had 384 full-time employees. Of our workforce, 151 employees are directly engaged in research and development with the rest providing administrative, business and operations support. None of our employees are represented by labor unions or covered by collective bargaining agreements. We consider the relationship with our employees to be good.</w:t>
      </w:r>
    </w:p>
    <w:p>
      <w:pPr>
        <w:spacing w:after="0" w:line="177"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Our human capital is integral to helping us achieve our goal to end the suffering caused by neurodegenerative diseases. The objectives for our human capital resources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other information with the SEC. Our filings with the SEC are available on the SEC’s website at www.sec.gov. We also maintain a website at http://www.amylyx.com. We make available, free of charge, in the Investors section of our website, documents we file with or furnish to the SEC, including our Annual Reports on Form 10-K, Quarterly Reports 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9" w:name="page50"/>
    <w:bookmarkEnd w:id="49"/>
    <w:p>
      <w:pPr>
        <w:ind w:right="100"/>
        <w:spacing w:after="0" w:line="265" w:lineRule="auto"/>
        <w:rPr>
          <w:sz w:val="20"/>
          <w:szCs w:val="20"/>
          <w:color w:val="auto"/>
        </w:rPr>
      </w:pPr>
      <w:r>
        <w:rPr>
          <w:rFonts w:ascii="Times New Roman" w:cs="Times New Roman" w:eastAsia="Times New Roman" w:hAnsi="Times New Roman"/>
          <w:sz w:val="18"/>
          <w:szCs w:val="18"/>
          <w:color w:val="auto"/>
        </w:rPr>
        <w:t>Form 10-Q, Current Reports on Form 8-K and any exhibits and amendments to those reports. We make this information available as soon as reasonably practicable after we electronically file such materials with, or furnish such information to, the SEC. The other information found on our website is not part of this or any other report we file with, or furnish to,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values that drive our mission to one day end the suffering caused by neurodegenerative diseases are at the heart of how we do business. Our commitment to audacity, curiosity, engagement, accountability, and authenticity compels us to be responsible members of the global community. We are committed to better understanding our impact on the world, what we are doing well, and where we can improve. In 2023, we formed an ESG Committee to lead the effort to help us formalize our environmental, social, and governance journey as we grow. This Committee reports to the Executive Leadership Team and is comprised of a cross-functional team of employees. As a virtual company, we recognize the importance of working with vendors and suppliers whose practices demonstrate a commitment to sustainability. With our recent rapid growth, we have now implemented a procurement function and are introducing a process to evaluate new vendors’ sustainability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22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As a company, we have grown quickly. Many of our employees choose to work remotely, but we have implemented features such as recycling programs and automatic lighting at our facilities. Amylyx expects its contract manufacturing, packaging and supply partners to maintain a similar ESG program, compliant with local laws and regulations, and retains the ability to conduct periodic audits to review these programs. That said, we acknowledge that there is work to do in this area, and looking at our environmental impact will be part of our future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w:t>
      </w:r>
    </w:p>
    <w:p>
      <w:pPr>
        <w:spacing w:after="0" w:line="227" w:lineRule="exact"/>
        <w:rPr>
          <w:sz w:val="20"/>
          <w:szCs w:val="20"/>
          <w:color w:val="auto"/>
        </w:rPr>
      </w:pPr>
    </w:p>
    <w:p>
      <w:pPr>
        <w:ind w:right="580" w:firstLine="749"/>
        <w:spacing w:after="0" w:line="281" w:lineRule="auto"/>
        <w:rPr>
          <w:sz w:val="20"/>
          <w:szCs w:val="20"/>
          <w:color w:val="auto"/>
        </w:rPr>
      </w:pPr>
      <w:r>
        <w:rPr>
          <w:rFonts w:ascii="Times New Roman" w:cs="Times New Roman" w:eastAsia="Times New Roman" w:hAnsi="Times New Roman"/>
          <w:sz w:val="18"/>
          <w:szCs w:val="18"/>
          <w:color w:val="auto"/>
        </w:rPr>
        <w:t>Our commitment to people is stated in our core values and reflected in our actions. We are dedicated to the discovery and development of potential treatments for people living with neurodegenerative diseases.</w:t>
      </w:r>
    </w:p>
    <w:p>
      <w:pPr>
        <w:spacing w:after="0" w:line="16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People living with the diseases we focus on are our true north, and we continue to work closely with the ALS and other neurodegenerative disease communities. This includes seeking their input on our clinical trial designs and recruitment materials as well as regularly engaging these individuals and caregivers for their feedback on multiple topics, including barriers to access to multidisciplinary care and to approved treatment. To ensure we continue to listen to and understand the needs of the neurodegenerative communities, we invite individuals to share their perspectives monthly at our all-company meetings. We are also proud to feature people living with ALS and their caregivers in our promotional and other external materials. As we advance novel drug candidates in our pipeline, we are committed to ensuring equal access for all to clinical trials and, in particular, to clinical trials comprised of people with diversity of gender, age, socioeconomic background, color, ethnicity, and more.</w:t>
      </w:r>
    </w:p>
    <w:p>
      <w:pPr>
        <w:spacing w:after="0" w:line="187"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In regions where our product is approved and commercially available, we have a dedicated team that can provide a number of services, including education and access support. For eligible patients, we offer financial support programs to help with affordability.</w:t>
      </w:r>
    </w:p>
    <w:p>
      <w:pPr>
        <w:spacing w:after="0" w:line="163"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We believe the best way to get helpful medicines to the most people who are qualified to receive them is to move through regulatory processes, following each country’s rules. In some cases, however, we may be able to provide an investigational drug for use even if it is not yet approved or is still being studied, providing access to treatment to certain individuals who otherwise would have no access.</w:t>
      </w:r>
    </w:p>
    <w:p>
      <w:pPr>
        <w:spacing w:after="0" w:line="177"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As an employer, diversity is also important, including having representation of diverse views and backgrounds at the highest levels of the organization. Three of our seven senior executives are women. Our board is committed to increasing diversity as we add additional members over time. At present, of our six board members, two are women, one who is ethnically diverse. We have posted a board diversity matrix on our website.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care about the health and wellbeing of our employees. We offer:</w:t>
      </w:r>
    </w:p>
    <w:p>
      <w:pPr>
        <w:spacing w:after="0" w:line="117" w:lineRule="exact"/>
        <w:rPr>
          <w:sz w:val="20"/>
          <w:szCs w:val="20"/>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remote work arrangements to all employees</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time off</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life, and disability insurance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50" w:name="page51"/>
    <w:bookmarkEnd w:id="50"/>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 with a company contribution</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leave</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assistance program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Our Board of Directors is responsible for overseeing the business and management of the Company. As part of our governance practices, we are committed to high standards of ethics, which are reflected in our Code of Business Conduct and Ethics, which applies to our directors, officers, employees and designated agents. This Code is posted on our corporate website. We have an independent chairman, and four of our six board members are independent. Our Audit, Nominating and Corporate Governance, and Compensation Committees are comprised solely of independent directors.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and in other documents that we file with the SEC, in evaluating our business and our prospects. Investing in our common stock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21" w:lineRule="exact"/>
        <w:rPr>
          <w:sz w:val="20"/>
          <w:szCs w:val="20"/>
          <w:color w:val="auto"/>
        </w:rPr>
      </w:pPr>
    </w:p>
    <w:p>
      <w:pPr>
        <w:ind w:left="1020" w:right="6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incurred significant losses and may in the future incur additional losses if we are unable to continue to generate sufficient revenue from our approved products to cover our expenses.</w:t>
      </w:r>
    </w:p>
    <w:p>
      <w:pPr>
        <w:spacing w:after="0" w:line="5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history of recognizing revenue from product sales and may not be able to achieve or maintain long-term sustainable profitability.</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currently only have one commercial product, AMX0035, branded as RELYVRIO in the U.S. and ALBRIOZA in Canada, which may make it difficult to evaluate the prospects for our future viability.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AMX0035 or Future Product Candidates</w:t>
      </w:r>
    </w:p>
    <w:p>
      <w:pPr>
        <w:spacing w:after="0" w:line="229" w:lineRule="exact"/>
        <w:rPr>
          <w:sz w:val="20"/>
          <w:szCs w:val="20"/>
          <w:color w:val="auto"/>
        </w:rPr>
      </w:pPr>
    </w:p>
    <w:p>
      <w:pPr>
        <w:ind w:left="1020" w:right="14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sales and marketing experience. If we are unable to continue to successfully commercialize AMX0035 or any other current or future product candidates in the U.S., Canada or elsewhere, if and when approved, we may be unable to generate meaningful additional product revenue.</w:t>
      </w:r>
    </w:p>
    <w:p>
      <w:pPr>
        <w:spacing w:after="0" w:line="69"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AMX0035 may fail to maintain the degree of market acceptance by physicians, patients, third-party payors and others in the medical community necessary for continued commercial success or to remain profitable.</w:t>
      </w:r>
    </w:p>
    <w:p>
      <w:pPr>
        <w:spacing w:after="0" w:line="54"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Health Canada, the EMA or other comparable foreign regulatory authorities approve generic versions of AMX0035 or any other current or future product candidate of ours that receives regulatory approval, or such authorities do not grant our products appropriate periods of non-patent exclusivity before approving generic versions of such products, the sales of such products could be adversely affected.</w:t>
      </w:r>
    </w:p>
    <w:p>
      <w:pPr>
        <w:spacing w:after="0" w:line="69"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coverage and reimbursement for AMX0035 or any other current or future product candidates in new geographies, it could make it difficult for us to sell AMX0035 or any other current or future product candidates profitably.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and Future Product Candidates</w:t>
      </w:r>
    </w:p>
    <w:p>
      <w:pPr>
        <w:spacing w:after="0" w:line="229" w:lineRule="exact"/>
        <w:rPr>
          <w:sz w:val="20"/>
          <w:szCs w:val="20"/>
          <w:color w:val="auto"/>
        </w:rPr>
      </w:pPr>
    </w:p>
    <w:p>
      <w:pPr>
        <w:ind w:left="1020" w:right="86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the success of AMX0035. If we are unable to maintain, or obtain additional, regulatory approvals for, and successfully commercialize, AMX0035, or experience significant delays in doing so, our business may be materially harmed.</w:t>
      </w:r>
    </w:p>
    <w:p>
      <w:pPr>
        <w:spacing w:after="0" w:line="54" w:lineRule="exact"/>
        <w:rPr>
          <w:rFonts w:ascii="Times New Roman" w:cs="Times New Roman" w:eastAsia="Times New Roman" w:hAnsi="Times New Roman"/>
          <w:sz w:val="18"/>
          <w:szCs w:val="18"/>
          <w:color w:val="auto"/>
        </w:rPr>
      </w:pPr>
    </w:p>
    <w:p>
      <w:pPr>
        <w:ind w:left="1020" w:right="240" w:hanging="504"/>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denial of regulatory approval, inability to maintain regulatory approval, inability to complete post-marketing requirements, or the requirement to resubmit any marketing application with additional data or information for AMX0035 in any jurisdiction could delay or suspend commercialization of AMX0035 and adversely impact our ability to generate revenue, our business and our results of operations, and could cause us to delay or even cease operations.</w:t>
      </w:r>
    </w:p>
    <w:p>
      <w:pPr>
        <w:spacing w:after="0" w:line="73" w:lineRule="exact"/>
        <w:rPr>
          <w:rFonts w:ascii="Times New Roman" w:cs="Times New Roman" w:eastAsia="Times New Roman" w:hAnsi="Times New Roman"/>
          <w:sz w:val="18"/>
          <w:szCs w:val="18"/>
          <w:color w:val="auto"/>
        </w:rPr>
      </w:pPr>
    </w:p>
    <w:p>
      <w:pPr>
        <w:ind w:left="1020" w:hanging="504"/>
        <w:spacing w:after="0" w:line="31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AMX0035 is a fixed-dose combination drug product and certain regulatory authorities may require a demonstration that each component makes a contribution to the claimed effects in addition to demonstrating that the combination is safe and effective for the intended population.</w:t>
      </w:r>
    </w:p>
    <w:p>
      <w:pPr>
        <w:spacing w:after="0" w:line="31" w:lineRule="exact"/>
        <w:rPr>
          <w:rFonts w:ascii="Times New Roman" w:cs="Times New Roman" w:eastAsia="Times New Roman" w:hAnsi="Times New Roman"/>
          <w:sz w:val="17"/>
          <w:szCs w:val="17"/>
          <w:color w:val="auto"/>
        </w:rPr>
      </w:pPr>
    </w:p>
    <w:p>
      <w:pPr>
        <w:ind w:left="1020" w:right="2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research and development efforts on the treatment of neurodegenerative and CNS disorders, a field that has seen very limited success in product development.</w:t>
      </w:r>
    </w:p>
    <w:p>
      <w:pPr>
        <w:spacing w:after="0" w:line="54" w:lineRule="exact"/>
        <w:rPr>
          <w:rFonts w:ascii="Times New Roman" w:cs="Times New Roman" w:eastAsia="Times New Roman" w:hAnsi="Times New Roman"/>
          <w:sz w:val="18"/>
          <w:szCs w:val="18"/>
          <w:color w:val="auto"/>
        </w:rPr>
      </w:pPr>
    </w:p>
    <w:p>
      <w:pPr>
        <w:ind w:left="1020" w:hanging="504"/>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Health Canada, the EMA and other comparable foreign authorities are lengthy, time-consuming and inherently unpredictable, and if we are ultimately unable to maintain or obtain regulatory approval for AMX0035 or any other current or future product candidates, our business will be substantially harmed. A finding that our global Phase 3 PHOENIX trial is insufficient to support current or additional marketing authorizations in ALS could lead the FDA or Health Canada to restrict or withdraw prior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2" w:name="page53"/>
    <w:bookmarkEnd w:id="52"/>
    <w:p>
      <w:pPr>
        <w:ind w:left="1020" w:right="160"/>
        <w:spacing w:after="0" w:line="265" w:lineRule="auto"/>
        <w:rPr>
          <w:sz w:val="20"/>
          <w:szCs w:val="20"/>
          <w:color w:val="auto"/>
        </w:rPr>
      </w:pPr>
      <w:r>
        <w:rPr>
          <w:rFonts w:ascii="Times New Roman" w:cs="Times New Roman" w:eastAsia="Times New Roman" w:hAnsi="Times New Roman"/>
          <w:sz w:val="18"/>
          <w:szCs w:val="18"/>
          <w:color w:val="auto"/>
        </w:rPr>
        <w:t>regulatory approvals for RELYVRIO or ALBRIOZA, respectively, or we could decide, after consultation with regulatory authorities, to voluntarily withdraw RELYVRIO or ALBRIOZA from the marketplace, or we may not be successful in obtaining marketing authorisation for AMX0035 from the EMA or other comparable foreign authorities.</w:t>
      </w:r>
    </w:p>
    <w:p>
      <w:pPr>
        <w:spacing w:after="0" w:line="69" w:lineRule="exact"/>
        <w:rPr>
          <w:sz w:val="20"/>
          <w:szCs w:val="20"/>
          <w:color w:val="auto"/>
        </w:rPr>
      </w:pPr>
    </w:p>
    <w:p>
      <w:pPr>
        <w:ind w:left="1020" w:right="46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may reduce or eliminate the commercial opportunity for AMX0035 for our current or future indications. If our competitors develop technologies or product candidates more rapidly than we do, or their technologies or product candidates are more effective or safer than ours, our ability to develop and successfully commercialize AMX0035 may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9" w:lineRule="exact"/>
        <w:rPr>
          <w:sz w:val="20"/>
          <w:szCs w:val="20"/>
          <w:color w:val="auto"/>
        </w:rPr>
      </w:pPr>
    </w:p>
    <w:p>
      <w:pPr>
        <w:ind w:left="1020" w:right="80" w:hanging="504"/>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enter into collaborations with third parties for the development and commercialization of AMX0035 or any other current or future product candidates, and our prospects with respect to AMX0035 and our other current or future product candidates will depend in significant part on the success of those collaborations.</w:t>
      </w:r>
    </w:p>
    <w:p>
      <w:pPr>
        <w:spacing w:after="0" w:line="69"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 parties to manufacture AMX0035 in compliance with cGMP may increase the risk that we will not have sufficient cGMP-compliant quantities of AMX0035 or necessary quantities of such materials on time or at an acceptable cost.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our ability to protect our intellectual property and proprietary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9" w:lineRule="exact"/>
        <w:rPr>
          <w:sz w:val="20"/>
          <w:szCs w:val="20"/>
          <w:color w:val="auto"/>
        </w:rPr>
      </w:pPr>
    </w:p>
    <w:p>
      <w:pPr>
        <w:ind w:left="1020" w:right="300" w:hanging="504"/>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an ongoing military conflict between Russia and Ukraine and the conflict in Israel, and high inflation and rising interest rates, any of which could have a material adverse effect on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our executive officers, principal consultants and others, and the loss of their services would materially harm our business.</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including our preclinical studies, clinical trials, third parties on whom we rely, our supply chain, our ability to raise capital, our ability to conduct regular business and our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right="60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political and geographical conditions may have serious adverse consequences on our business, financial condition and stock price.</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0" w:right="43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incurred significant losses and may in the future incur additional losses if we are unable to continue to generate sufficient revenue from our approved products to cover our expenses.</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invested substantial resources into our product development efforts and toward the commercialization of RELYVRIO, which has been approved by the FDA, and ALBRIOZA, which has received marketing authorization with conditions from Health Canada, but we have only been generating revenue from product sales in the U.S., Canada for a limited period. We will continue to incur significant research and development and other expenses related to clinical development, commercialization, approvals in additional jurisdictions and for additional indications, and ongoing operations. Since our inception, we have devoted the majority of our financial resources and efforts to research and development, including preclinical studies and our clinical trials, preparation for commercialization and commercialization activities. Our financial condition and operating results, including our revenues, expenses and net income (loss), may fluctuate significantly from quarter to quarter and year to year. Accordingly, you should not rely upon the results of any quarterly or annual periods as indications of future operating performance. Additionally, net losses and negative cash flows have had, and may in the future have, an adverse effect on our stockholders’ equity and working capital. As of December 31, 2023, we had an accumulated deficit of $304.9 million. We may again in the future incur significant losses and our financial results will be highly dependent upon continued successful commercial sales of RELYVRIO in the U.S and ALBRIOZA in Canada.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may increase substantially if and as we:</w:t>
      </w:r>
    </w:p>
    <w:p>
      <w:pPr>
        <w:spacing w:after="0" w:line="117" w:lineRule="exact"/>
        <w:rPr>
          <w:sz w:val="20"/>
          <w:szCs w:val="20"/>
          <w:color w:val="auto"/>
        </w:rPr>
      </w:pPr>
    </w:p>
    <w:p>
      <w:pPr>
        <w:ind w:left="1020" w:right="7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build out our sales, marketing, pharmacovigilance and distribution infrastructure and scale-up manufacturing capabilities for AMX0035 and any product candidate for which we may obtain approval;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of AMX0035 for the treatment of ALS, PSP, WS, AD and potential other additional indications;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preclinical and clinical development efforts for any current or future product candidates;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regulatory approvals in the U.S. and Canada for RELYVRIO and ALBRIOZA for the treatment of ALS, respectively, and seek to obtain regulatory approvals in the EU and other geographies for AMX0035 for the treatment of ALS, PSP, WS, AD and any other indications that successfully complete clinical development;</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completion of post-marketing requirements, the potential that regulators require additional data to support the approval of AMX0035 for ALS, failed studies, negative or mixed clinical trial results, safety issues or other regulatory challenges;</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commercialization of AMX0035 and product candidate development and to help us comply with our obligations as a public company;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scientific, commercial and administrative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22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are continuing to build out our infrastructure, including sales and marketing, distribution and manufacturing capabilities, to support commercialization of AMX0035 in the U.S. and Canada. As of December 31, 2023, we had 384 full-time employees.</w:t>
      </w:r>
    </w:p>
    <w:p>
      <w:pPr>
        <w:spacing w:after="0" w:line="16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Health Canada, the EMA, or other regulatory authorities to perform clinical trials or conduct other studies in addition to those that we currently expect, or if</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54" w:name="page55"/>
    <w:bookmarkEnd w:id="54"/>
    <w:p>
      <w:pPr>
        <w:ind w:right="20"/>
        <w:spacing w:after="0" w:line="281" w:lineRule="auto"/>
        <w:rPr>
          <w:sz w:val="20"/>
          <w:szCs w:val="20"/>
          <w:color w:val="auto"/>
        </w:rPr>
      </w:pPr>
      <w:r>
        <w:rPr>
          <w:rFonts w:ascii="Times New Roman" w:cs="Times New Roman" w:eastAsia="Times New Roman" w:hAnsi="Times New Roman"/>
          <w:sz w:val="18"/>
          <w:szCs w:val="18"/>
          <w:color w:val="auto"/>
        </w:rPr>
        <w:t>there are any delays in establishing appropriate manufacturing arrangements for or in completing our clinical trials or the development of AMX0035 or any other current or future product candidates we may develop.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history of recognizing revenue from product sales and may not be able to achieve or maintain long-term sustainable profitability.</w:t>
      </w:r>
    </w:p>
    <w:p>
      <w:pPr>
        <w:spacing w:after="0" w:line="2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to successfully complete the development of, and obtain the regulatory approvals necessary to commercialize our products, including our commercialization of RELYVRIO in the U.S. and ALBRIOZA in Canada. Our ability to recognize revenues from product sales depends heavily on our success in:</w:t>
      </w:r>
    </w:p>
    <w:p>
      <w:pPr>
        <w:spacing w:after="0" w:line="69"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delivering supply of AMX0035;</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any post-marketing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reimbursement for our products from private insurance or government payors;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preclinical, and clinical development of other product candidates, including AMX0114, and for AMX0035 in additional indications;</w:t>
      </w:r>
    </w:p>
    <w:p>
      <w:pPr>
        <w:spacing w:after="0" w:line="54"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U.S. and foreign marketing approvals for AMX0035 in additional indications and for other product candidates for which we complete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market acceptance of our product and product candidates, if approved, as a treatment option;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defending, protecting, and expanding our portfolio of IP rights, including patents, trade secrets and know-how;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than RELYVRIO in the U.S. and ALBRIOZA in Canada, we have not yet launched any other approved products for commercial sale. We anticipate continuing to incur significant costs associated with the commercialization of RELYVRIO and ALBRIOZA, and even if another product candidate we are developing is approved for commercial sale, we anticipate incurring significant costs associated the commercialization of any such approved product candidate. Even though we have begun to generate revenues from the sale of RELYVRIO and ALBRIOZA, we may not be able to achieve or maintain long-term sustainable profitability unless AMX0035 is approved in other jurisdictions or for additional indications or other of our current or future product candidates is approved in the future. Because of the uncertainties and risks associated with these activities, we are unable to accurately and precisely predict the timing and amount of revenues, the extent of any future losses or if we might sustain profitability.</w:t>
      </w:r>
    </w:p>
    <w:p>
      <w:pPr>
        <w:spacing w:after="0" w:line="187"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Our failure to remain profitable may depress the market price of our common stock and could impair our ability to raise capital, expand our business, diversify our product offerings or continue our operations. If we suffer losses as we have in the past, investors may not receive any return on their investment and may lose their entire investment.</w:t>
      </w:r>
    </w:p>
    <w:p>
      <w:pPr>
        <w:spacing w:after="0" w:line="17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currently only have one commercial product, AMX0035, branded as RELYVRIO in the U.S. and ALBRIOZA in Canada, which may make it difficult to evaluate the prospects for our future viability.</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still in the relatively early stages of our transition from a clinical-stage to a commercial-stage company in the past few years. Our operations to date have been primarily limited to organizing, staffing and financing our company, raising capital, conducting research and development activities, including preclinical studies and clinical trials and, more recently, preparing for and commercializing AMX0035. We have not yet demonstrated an ability to generate significant revenues on a long term sustained basis, or to conduct sales and marketing activities necessary for successful longer term product commercialization. In June 2022, AMX0035 received marketing authorization with conditions from Health Canada for the treatment of ALS, with one such condition being the provision of data from the PHOENIX trial and other additional planned or ongoing studies.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55" w:name="page56"/>
    <w:bookmarkEnd w:id="55"/>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2022, AMX0035 received marketing authorization from the FDA for the treatment of ALS in adults. In January 2024, the European Commission confirmed the adoption of the CHMP’s negative opinion on the MAA for conditional marketing authorisation of AMX0035 for ALS in the EU. We continue to focus on the completion of our global PHOENIX Phase 3 clinical trial, and will provide additional data on the efficacy and safety profile of AMX0035 in people living with ALS. If PHOENIX is supportive, we plan to seek approval in the EU as quickly as possible, although there is no guarantee we will receive such approval.</w:t>
      </w:r>
    </w:p>
    <w:p>
      <w:pPr>
        <w:spacing w:after="0" w:line="18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addition, we have post-marketing requirements as part of our approval of RELYVRIO in the U.S. and ALBRIOZA has been approved in Canada with conditions, which if not met, could impair our ability to continue commercializing AMX0035. At a second meeting of the FDA’s Peripheral and Central Nervous System Drugs Advisory Committee, or the Advisory Committee, on September 7, 2022, relating to AMX0035 for the treatment of ALS, we stated that if our PHOENIX trial is not successful then we will do what is right for patients, which includes voluntarily removing the product from the market. We will work in consultation with regulatory authorities when the PHOENIX data are available. We could also be required by regulatory authorities to withdraw AMX0035 from the marketplace. As part of our approval of RELYVRIO in the U.S., we have post-marketing requirements to conduct carcinogenicity studies in mice and rats, drug-drug interaction studies in human volunteers, and studies in subjects with kidney or liver impairment. The outcomes of these studies including the PHOENIX trial and any potential withdrawal could have a material adverse effect on our business.</w:t>
      </w:r>
    </w:p>
    <w:p>
      <w:pPr>
        <w:spacing w:after="0" w:line="17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Additionally, we may not satisfy all of the conditions imposed by Health Canada for marketing authorization of ALBRIOZA for the treatment of ALS. If we fail to do so, we may be subject to additional conditions imposed by Health Canada or we may have to cease commercialization of ALBRIOZA, which may impact our prospect for profitability.</w:t>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Accordingly, you should consider our prospects in light of the costs, uncertainties, delays and difficulties frequently encountered by companies in the early commercial stage, especially pharmaceutical companies such as ours. Any predictions you make about our future success or viability may not be as accurate as they could be if we had a longer operating history with these activities.</w:t>
      </w:r>
    </w:p>
    <w:p>
      <w:pPr>
        <w:spacing w:after="0" w:line="17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1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Annual Report:</w:t>
      </w:r>
    </w:p>
    <w:p>
      <w:pPr>
        <w:spacing w:after="0" w:line="69"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deliver supply of AMX0035;</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market acceptance of our product and product candidates, if approved, as a treatment option;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advancement of existing or future development candidates into the clinic or product candidates in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feasibility of developing, manufacturing, and commercializing our product and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or approval processes;</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AMX0035 for additional indications and to commercialize AMX0035 for such additional indications, if approved;</w:t>
      </w:r>
    </w:p>
    <w:p>
      <w:pPr>
        <w:spacing w:after="0" w:line="54"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international aspects of our business including the conduct of clinical trials in multiple locations and potential commercialization in such locations;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IP rights;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56" w:name="page57"/>
    <w:bookmarkEnd w:id="56"/>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IP, know-how or technologies;</w:t>
      </w:r>
    </w:p>
    <w:p>
      <w:pPr>
        <w:spacing w:after="0" w:line="116"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that our competitors and potential competitors may have in securing funding, obtaining the rights to critical IP or developing competing technologies or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such as power outages, strikes, acts of terrorism or natural disasters;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of global economic and geopolitical events.</w:t>
      </w:r>
    </w:p>
    <w:p>
      <w:pPr>
        <w:spacing w:after="0" w:line="22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Due to the various factors mentioned herein, and others, the results of any of our prior quarterly or annual periods should not be relied upon as indications of our future operating performance.</w:t>
      </w:r>
    </w:p>
    <w:p>
      <w:pPr>
        <w:spacing w:after="0" w:line="16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Our financial results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 Our stock price may also decline as a result of unexpected clinical trial results in one or more of our ongoing or future clinical trials.</w:t>
      </w:r>
    </w:p>
    <w:p>
      <w:pPr>
        <w:spacing w:after="0" w:line="17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funding in the future to meet our financial needs and to pursue our business objectives. If we are unable to raise capital if and when needed, we could be forced to delay, reduce or eliminate our product discovery and development activities or commercialization efforts.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continue to spend substantial amounts to continue to commercialize AMX0035 in jurisdictions in which it has received regulatory approval and to continue the clinical development of AMX0035 in additional indications and the preclinical and clinical development of additional product candidates. If we are unable to obtain additional marketing approvals for AMX0035 or any other current or future product candidates that we develop, we may require significant additional amounts of cash in order to continue to develop AMX0035 and any other current or future product candidates and fund our operations. In addition, other unanticipated costs may arise in the course of our development and commercialization efforts. Because the design and outcome of our ongoing and anticipated clinical trials is highly uncertain, we cannot reasonably estimate the actual amounts necessary to successfully complete the development and commercialization of any product candidate we develop.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32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AMX0035 for the treatment of ALS in additional jurisdictions where approved, if any, and in PSP, WS, AD and potential additional indications, as well as any other product candidates we are currently developing or may in the future develop;</w:t>
      </w:r>
    </w:p>
    <w:p>
      <w:pPr>
        <w:spacing w:after="0" w:line="69" w:lineRule="exact"/>
        <w:rPr>
          <w:rFonts w:ascii="Times New Roman" w:cs="Times New Roman" w:eastAsia="Times New Roman" w:hAnsi="Times New Roman"/>
          <w:sz w:val="18"/>
          <w:szCs w:val="18"/>
          <w:color w:val="auto"/>
        </w:rPr>
      </w:pPr>
    </w:p>
    <w:p>
      <w:pPr>
        <w:jc w:val="both"/>
        <w:ind w:left="1020" w:right="18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maintaining marketing approvals for AMX0035 for the treatment of ALS, and obtaining marketing approvals for AMX0035 for the treatment of ALS and for the treatment of PSP, WS, AD and potential additional indications, and obtaining approvals for other product candidates we are developing or may in the future develop and pursue;</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other product candidates that we may pursue and their development requirements;</w:t>
      </w:r>
    </w:p>
    <w:p>
      <w:pPr>
        <w:spacing w:after="0" w:line="116"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AMX0035 for any approved indications, or any other product candidate that receives regulatory approval to the extent such costs are not the responsibility of any future collaborators, including the costs and timing of establishing sufficient product sales, marketing, distribution and manufacturing capabilities;</w:t>
      </w:r>
    </w:p>
    <w:p>
      <w:pPr>
        <w:spacing w:after="0" w:line="69" w:lineRule="exact"/>
        <w:rPr>
          <w:rFonts w:ascii="Times New Roman" w:cs="Times New Roman" w:eastAsia="Times New Roman" w:hAnsi="Times New Roman"/>
          <w:sz w:val="18"/>
          <w:szCs w:val="18"/>
          <w:color w:val="auto"/>
        </w:rPr>
      </w:pPr>
    </w:p>
    <w:p>
      <w:pPr>
        <w:ind w:left="1020" w:right="86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and maintenance of regulatory approval on a jurisdiction-by-jurisdiction basis, additional revenue received from commercial sales of AMX0035 for any approved indications or any other current or future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rights to other products, product candidates or technologies;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efforts, increase our office space, and establish a commercial infrastructure;</w:t>
      </w:r>
    </w:p>
    <w:p>
      <w:pPr>
        <w:spacing w:after="0" w:line="54"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57" w:name="page58"/>
    <w:bookmarkEnd w:id="57"/>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As a result of the challenges caused by economic uncertainty in various global markets due to geopolitical instability and conflict, including the ongoing conflicts in Ukraine and Israel, the global credit and financial markets have experienced in recent periods significant volatility and disruptions, including diminished liquidity and credit availability, declines in consumer confidence, high rates of inflation and interest rates and uncertainty about economic stability. If the equity and credit markets deteriorate, it may make any necessary debt or equity financing more difficult, more costly or more dilutive.</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no committed source of additional capital and if we are unable to raise additional capital, if needed, in sufficient amounts or on terms acceptable to us, we may have to significantly delay, scale back or discontinue the development or commercialization of AMX0035 or any other current or future product candidates or other research and development initiatives. We may need to seek collaborators for AMX0035 and any other current or future product candidates at an earlier stage than otherwise would be desirable or on terms that are less favorable than might otherwise be available or relinquish or license on unfavorable terms our rights to AMX0035 and any other current or future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 revenue we generate from commercial sales of AMX0035 in the U.S. and Canada and our existing cash, cash equivalents, and short-term investments, will be sufficient to meet our anticipated operating and capital expenditure requirements for at least twelve months after the date of this Annual Report.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17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planned operations. Unless and until we can generate a substantial amount of revenue on a sustained basis and demonstrate sustained profitability from product sales, we may be required to finance our future cash needs through public or private equity offerings, royalty-based or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Securing financing could also require a substantial amount of time and attention from our management and may divert a disproportionate amount of their attention away from day-to-day activities, which may adversely affect our management’s ability to oversee the development and commercialization of AMX0035 or any future product candidates.</w:t>
      </w:r>
    </w:p>
    <w:p>
      <w:pPr>
        <w:spacing w:after="0" w:line="187"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2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The rules dealing with U.S. federal, state, local and international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investors to consult with their legal and tax advisers regarding the implications of potential changes in tax laws on an investment in our common stock.</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do not currently have investments with any financial institution that has experienced such events, if any financial institution with which we have a relationship were to be placed into receivership, we may be unable to access such funds. In addition, if any parties with whom we conduct business are unable to access funds pursuant to instruments or lending arrangements with such a financial institution, such parties’ ability to pay their obligations to us or to enter into new commercial arrangements requiring additional payments to us could be adversely affected.</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event of the closure of other banks or financial institutions in the future, or that they would do so in a timely fashion.</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financial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AMX0035 or Future Product Candidates</w:t>
      </w:r>
    </w:p>
    <w:p>
      <w:pPr>
        <w:spacing w:after="0" w:line="22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limited sales and marketing experience. If we are unable to continue to successfully commercialize AMX0035 or any other current or future product candidates in the U.S., Canada or elsewhere, if and when approved, and we may be unable to generate meaningful additional product revenue.</w:t>
      </w:r>
    </w:p>
    <w:p>
      <w:pPr>
        <w:spacing w:after="0" w:line="13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AMX0035 is the first product that we have commercialized. We currently sell ALBRIOZA in Canada and RELYVRIO in the U.S. through specialized teams, given the relative rarity of ALS and certain of the other indications we are targeting. We are continuing to build the global marketing and sales team for the marketing, sales and distribution of AMX0035 and any future product candidates, if approved. In order to continue to successfully commercialize AMX0035 for the treatment of ALS, and to commercialize AMX0035 for the treatment of PSP, WS, AD and other indications, or to commercialize any of our other current or future product candidates that may be approved, we must build, on a territory-by-territory basis, marketing, sales, distribution, managerial and other capabilities or make arrangements with third parties to perform these services, and we may not be successful in doing so.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9" w:name="page60"/>
    <w:bookmarkEnd w:id="59"/>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we have recruited and trained a U.S. commercial organization which is expensive and time-consuming. Factors that may inhibit our efforts to commercialize AMX0035 or any other current or future product candidates, if approved, on our own include:</w:t>
      </w:r>
    </w:p>
    <w:p>
      <w:pPr>
        <w:spacing w:after="0" w:line="69"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and retain adequate numbers of effective sales and marketing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supply the market with our drug product, including manufacturing or distribution challenges we may face;</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to prescribe AMX0035 or any other product that we are currently developing or may in the future develop and gets approved;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views or opinions expressed by ALS or community organizations about the safety or efficacy of AMX0035;</w:t>
      </w:r>
    </w:p>
    <w:p>
      <w:pPr>
        <w:spacing w:after="0" w:line="116"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or symptomatic treatments to be offered by sales personnel, which may put us at a competitive disadvantage relative to companies with more extensive product lines;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by and reimbursement from government and third-party payors;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profitability from these revenue streams is likely to be lower than if we were to market and sell any product candidates that we develop ourselves. In addition, we may not be successful in entering into arrangements with third parties to sell and market AMX0035 or any of our other current or future product candidates or may be unable to do so on terms that are favorable to us. We likely will have limited control over such third parties, and any of them may fail to devote the necessary resources and attention to sell and market AMX0035 or any other current or future product candidates effectively. If we do not establish sales and marketing capabilities successfully, either on our own or in collaboration with third parties, we may not be successful in commercializing AMX0035 or any other current or future product candidates.</w:t>
      </w:r>
    </w:p>
    <w:p>
      <w:pPr>
        <w:spacing w:after="0" w:line="187"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Our efforts to educate the ALS and other neurodegenerative disease medical communities and payors on the benefits of AMX0035 or any future product candidates may require significant resources and may never be successful. Such efforts may require more resources than are typically required due to the complexity and uniqueness of AMX0035 or any future product candidates, and the indications we are targeting. Even if AMX0035 or any future product candidates are approved in any jurisdiction, if we are unable to successfully market our products successfully, we will not be able to generate significant revenues from such products.</w:t>
      </w:r>
    </w:p>
    <w:p>
      <w:pPr>
        <w:spacing w:after="0" w:line="17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marketing, manufacturing and distribution capabilities or enter into agreements with third parties to market and sell AMX0035 or other current or future product candidates for which we obtain marketing approval, we will be unable to generate any additional product revenue.</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successfully commercialize any products that may result from our development activities, we need to continue to expand our marketing, pharmacovigilance, manufacturing and distribution capabilities, either on our own or with others. The development of our own marketing and distribution effort has been, is, and will continue to be, expensive and time-consuming and could delay any further product launches. Moreover, we cannot be certain that we will be able to continue to develop this capability successfully. We may enter into collaborations regarding any approved product candidates with other entities to utilize their established marketing and distribution capabilities, however, we may be unable to enter into such agreements on favorable terms, if at all. If any future collaborators do not commit sufficient resources to commercialize AMX0035 or any other current or future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AMX0035 and any other current or future product candidates, if approved. Without an internal team or the support of a third-party to perform marketing and sales functions, we may be unable to compete successfully against these more established companies.</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AMX0035 for ALS, PSP, WS, AD and other neurodegenerative diseases and for any other product candidates we are currently developing or may in the future develop may be smaller than we expect.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60" w:name="page61"/>
    <w:bookmarkEnd w:id="60"/>
    <w:p>
      <w:pPr>
        <w:ind w:right="60"/>
        <w:spacing w:after="0" w:line="252" w:lineRule="auto"/>
        <w:rPr>
          <w:sz w:val="20"/>
          <w:szCs w:val="20"/>
          <w:color w:val="auto"/>
        </w:rPr>
      </w:pPr>
      <w:r>
        <w:rPr>
          <w:rFonts w:ascii="Times New Roman" w:cs="Times New Roman" w:eastAsia="Times New Roman" w:hAnsi="Times New Roman"/>
          <w:sz w:val="18"/>
          <w:szCs w:val="18"/>
          <w:color w:val="auto"/>
        </w:rPr>
        <w:t>We focus our research and product development on treatments of neurodegenerative diseases. We base our market opportunity estimates on a variety of factors, including our estimates of the number of people who have these diseases, the potential scope of our approved product labels, the subset of people with these diseases who have the potential to benefit from treatment with AMX0035 or any other current or future product candidates, various pricing scenarios, and our understanding of reimbursement policies for rare diseases in particular countries. These estimates are based on many assumptions and may prove incorrect, and new studies may reduce the estimated incidence or prevalence of these diseases. Estimating market opportunities can be particularly challenging for rare indications, such as the ones we currently address, as epidemiological data is often more limited than for more prevalent indications and can require additional assumptions to assess potential patient populations. As we continue to commercialize RELYVRIO in the U.S., ALBRIOZA in Canada and begin to market AMX0035, if approved, in other jurisdictions, and learn more about market dynamics and engage with regulators on additional potential marketing approvals, our view of our products’ initial potential market opportunity will become more refined. For example, we are finding that the market for ALS in the U.S. may be different than our initial estimations because a large percentage of ALS patients in the U.S. are treated outside of larger treatment centers, making it difficult to identify and access these patients. Additionally, we have primarily focused on the annual incidence of ALS, which means the initial market opportunity for AMX0035 may be smaller than the total addressable market opportunity that could be achieved over time. If we are unable to identify patients and successfully commercialize AMX0035 or any other current or future product candidates with attractive market opportunities, our future product revenues may be smaller than anticipated, and our business may suffer.</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Patient identification efforts also influence the ability to address a patient population. If efforts in patient identification are unsuccessful or less impactful than anticipated, for instance, because of a lack of diagnostic initiatives, inadequate disease awareness among healthcare professionals, difficulties in identifying and accessing patients outside of larger treatment centers or otherwise, we may not address the entirety of the opportunity we are seeking. As a result, patients may be difficult to identify and access, the addressable patient population in the U.S., Canada, the EU and elsewhere may turn out to be lower than expected, or patients may not be otherwise amenable to treatment with our products, all of which would adversely affect our business, financial condition, results of operations and prospects.</w:t>
      </w:r>
    </w:p>
    <w:p>
      <w:pPr>
        <w:spacing w:after="0" w:line="18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AMX0035 may fail to maintain the degree of market acceptance by physicians, patients, third-party payors and others in the medical community necessary for continued commercial success or to remain profitable.</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AMX0035 for the treatment of any indication, or any other current or future product candidate of ours, is approved by the appropriate regulatory authorities for marketing and sale, it may nonetheless fail to gain sufficient market acceptance by physicians, patients, third-party payors and others in the medical community. Physicians may be reluctant to add AMX0035 or another product to their patients’ treatment regimen, or may cease to add AMX0035 or such product to their patients’ treatment regimen. Further, patients often acclimate to the treatment regime they are currently taking and do not want to add additional treatments unless their physicians recommend it. Further, patients may be unable to add AMX0035 or such other product to their treatment regimen due to lack of coverage and adequate reimbursement. In addition, even if we are able to demonstrate our product candidates’ safety and efficacy to Health Canada, the FDA, the EMA and other regulators, safety or efficacy concerns in the medical community may hinder market acceptance. Our ability to proactively educate health care professionals and patients may be limited based on the marketing restrictions in a given jurisdiction, specifically as they relate to the particular labeling approved by the applicable health authority.</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and any future product candidates may require significant resources, including management time and financial resources, and may not be successful. If AMX0035 or any other current or future product candidate is approved but does not achieve an adequate level of market acceptance, we may not generate significant revenues and we may not remain profitable. The degree of market acceptance of AMX0035 and any other future product candidates, if approved for commercial sale, will depend on a number of factors, including:</w:t>
      </w:r>
    </w:p>
    <w:p>
      <w:pPr>
        <w:spacing w:after="0" w:line="74"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 and our ability to successfully publicize these advantages or highlight them in any marketing materials;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 or as a single agent or in combination;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61" w:name="page62"/>
    <w:bookmarkEnd w:id="61"/>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tolerability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2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Any failure by AMX0035 or any other current or future product candidate of ours that obtains regulatory approval to achieve market acceptance or commercial success would adversely affect our business prospects.</w:t>
      </w:r>
    </w:p>
    <w:p>
      <w:pPr>
        <w:spacing w:after="0" w:line="15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for the treatment of ALS with PB, which is available as a generic drug, along with the potential sale in some jurisdictions of TURSO, expose us to additional risks that could reduce or eliminate the commercial opportunity for AMX0035.</w:t>
      </w:r>
    </w:p>
    <w:p>
      <w:pPr>
        <w:spacing w:after="0" w:line="15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are developing and advancing AMX0035 as a combination of TURSO and PB. PB has been approved by the FDA and other regulatory authorities for the treatment of patients with certain urea cycle disorders.</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TURSO is being marketed in preparations without approval for the treatment of ALS in some jurisdictions, including the U.S. We face the risk that healthcare professionals may prescribe PB for the treatment of ALS and recommend that patients obtain a commercial preparation of TURSO not approved, labeled, or marketed for the treatment of ALS on the belief that this combination could replicate the benefits of AMX0035. Patient-directed treatment with TURSO for ALS may also arise in certain jurisdictions if the Phase 3 clinical trial to assess the safety and efficacy of TURSO in patients with ALS conducted by Humanitas Mirasole SpA in the EU reports positive results. While these practices are not recommended by the medical community and have not been approved by any regulatory authority, they may nonetheless impact our sales of RELYVRIO in the U.S., ALBRIOZA in Canada and AMX0035, if approved in other jurisdictions, and/or public perception of AMX0035 in the U.S. or abroad.</w:t>
      </w:r>
    </w:p>
    <w:p>
      <w:pPr>
        <w:spacing w:after="0" w:line="18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Health Canada, the EMA or other comparable foreign regulatory authorities approve generic versions of AMX0035 or any other current or future product candidate of ours that receives regulatory approval, or such authorities do not grant our products appropriate periods of non-patent exclusivity before approving generic versions of such products, the sales of such products could be adversely affected.</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U.S., once an NDA is approved, the product covered thereby becomes a “reference listed drug” in the FDA’s publication, “Approved Drug Products with Therapeutic Equivalence Evaluations,” or the Orange Book. Manufacturers may seek approval of generic versions of reference listed drugs through submission of abbreviated new drug applications, or ANDAs, in the U.S. In support of an ANDA, a generic manufacturer generally must show that its product has the same active ingredient(s), dosage form, strength, route of administration, and adequate labeling as the reference listed drug and that the generic version is bioequivalent to the reference listed drug, meaning, in part, that it is absorbed in the body at the same rate and to the same extent. Generic products may be significantly less costly to bring to market than the reference listed drug and companies that produce generic products are generally able to offer them at lower prices. Moreover, many states allow or require substitution of therapeutically equivalent generic drugs at the pharmacy level even if the branded drug is prescribed. Thus, following the introduction of a generic drug, a significant percentage of the sales of any branded product or reference listed drug may be lost to the generic product.</w:t>
      </w:r>
    </w:p>
    <w:p>
      <w:pPr>
        <w:spacing w:after="0" w:line="18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Specifically, in cases where such exclusivity has been granted, an ANDA may not be filed with the FDA until the expiration of five years unless the submission is accompanied by a Paragraph IV certification that a patent covering the listed drug is invalid, unenforceable or will not be infringed by the generic product. In that case, the applicant may submit its application four years following approval of the listed drug and seek to launch its generic product even if we still have patent protection for our product unless an infringement suit is timely filed by the NDA or patent holder in which case the FDA cannot approve the ANDA for 30 months unless a court decision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2" w:name="page63"/>
    <w:bookmarkEnd w:id="62"/>
    <w:p>
      <w:pPr>
        <w:ind w:right="100"/>
        <w:spacing w:after="0" w:line="265" w:lineRule="auto"/>
        <w:rPr>
          <w:sz w:val="20"/>
          <w:szCs w:val="20"/>
          <w:color w:val="auto"/>
        </w:rPr>
      </w:pPr>
      <w:r>
        <w:rPr>
          <w:rFonts w:ascii="Times New Roman" w:cs="Times New Roman" w:eastAsia="Times New Roman" w:hAnsi="Times New Roman"/>
          <w:sz w:val="18"/>
          <w:szCs w:val="18"/>
          <w:color w:val="auto"/>
        </w:rPr>
        <w:t>favor of the generic manufacturer is issued earlier. For fixed dose combination products, the FDA has taken the position that a combination product will be eligible for NCE exclusivity (also known as data exclusivity) if it contains a new active moiety, even if the fixed-combination also contains a drug substance with a previously approved active moiety.</w:t>
      </w:r>
    </w:p>
    <w:p>
      <w:pPr>
        <w:spacing w:after="0" w:line="17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have received NCE exclusivity from the FDA for RELYVRIO and such exclusivity expires in September 2027. In addition, in connection with our Health Canada marketing authorization with conditions, ALBRIOZA was added to the Register of Innovative Drugs, which provides an eight year period of market exclusivity. The regulatory authorities in Europe may reach different conclusions from the FDA or Health Canada with respect to exclusivity for AMX0035.</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product we develop does not receive five years of NCE exclusivity, the FDA may approve generic versions of such product three years after its date of approval, subject to the requirement that the ANDA applicant certifies to the invalidity or non-infringement of any patents listed for our products in the Orange Book. If an infringement suit is timely filed by the NDA or patent holder, the FDA cannot finally approve the ANDA for 30 months unless a court decision in favor of the generic manufacturer is issued earlier. Three-year exclusivity is given to a drug if it contains an active moiety that has previously been approved, and the NDA includes reports of one or more new clinical investigations, other than bioavailability or bioequivalence studies, that were conducted by or for the applicant and are determined by the FDA to be essential to the approval of the NDA. This form of data exclusivity is known as New Clinical Investigation, or NCI, exclusivity. If AMX0035 is approved for future uses or if current and future candidates are approved with only NCI exclusivity, generic manufacturers may file their ANDAs anytime following approval of AMX0035 and seek to launch their generic products following the expiration of the three year market exclusivity period, even if we still have patent protection for our product.</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addition, in the U.S. the FDCA provides a period of seven years of orphan drug exclusivity for drugs that treat small patient populations less than 200,000 patients or for which there are more than 200,000 patients but there is no reasonable expectation that the cost of developing and making the drug for such disease or condition will be recovered from sales in the U.S. of such drug. AMX0035 has been granted orphan drug designation for the treatment of ALS, and with the approval of AMX0035 (RELYVRIO) by the FDA in September 2022 for the treatment of ALS in adults, the product was granted orphan drug exclusivity and the FDA cannot approve a generic or a brand product that contains the same active moiety for the same orphan indication as AMX0035, for a period of seven years, subject to certain exceptions. This period runs concurrent with the NCE exclusivity period.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Canada’s data protection regime provides an eight year period of market exclusivity for “innovative drugs”, which is independent from patent protection. An innovative drug is a drug that contains a medicinal ingredient not previously approved by Health Canada and that is not a variation of a previously approved medicinal ingredient such as a salt, ester, enantiomer, solvate or polymorph. If a drug qualifies as an “innovative drug” in Canada, generic/and manufacturers are not permitted to seek approval for their product on the basis of a direct or indirect comparison to an innovative drug for the first six years of the data protection period, and Health Canada cannot issue a Notice of Compliance, or NOC or marketing approval, for eight years. One of the components of ALBRIOZA (ursodoxicoltaurine) is an innovative drug, and therefore ALBRIOZA was added to the Register of Innovative Drugs upon its approval. The data protection period for ALBRIOZA runs until June 10, 2030 which is eight years from the date its NOC was issued.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regulatory provision in Canada that provides orphan drug exclusivity to approved products for rare diseases.</w:t>
      </w:r>
    </w:p>
    <w:p>
      <w:pPr>
        <w:spacing w:after="0" w:line="22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(including both small molecules and biological medicinal products), sometimes referred to as new active substances, or NAS,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until the expiration of the market exclusivity period. This 10-year market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a marketing authorization based on an application with a complete and independent data package of pharmaceutical tests, preclinical tests and clinical trials. We have applied for NAS status for AMX0035 in the EU. Irrespective of the NAS status, we expect that AMX0035 will be eligible for orphan market exclusivity if the orphan designation is maintained upon grant of a marketing authorisation in the EU. The current orphan medicines regime in the EU</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3" w:name="page64"/>
    <w:bookmarkEnd w:id="63"/>
    <w:p>
      <w:pPr>
        <w:ind w:right="260"/>
        <w:spacing w:after="0" w:line="265" w:lineRule="auto"/>
        <w:rPr>
          <w:sz w:val="20"/>
          <w:szCs w:val="20"/>
          <w:color w:val="auto"/>
        </w:rPr>
      </w:pPr>
      <w:r>
        <w:rPr>
          <w:rFonts w:ascii="Times New Roman" w:cs="Times New Roman" w:eastAsia="Times New Roman" w:hAnsi="Times New Roman"/>
          <w:sz w:val="18"/>
          <w:szCs w:val="18"/>
          <w:color w:val="auto"/>
        </w:rPr>
        <w:t>entitles an orphan medicine to a 10-year period of market exclusivity, which can be extended to 12 years if the sponsor complies with an agreed upon paediatric investigation plan. However, the European Commission introduced a legislative proposal in April 2023 that, if implemented, could reduce the current exclusivity period for certain orphan medicines.</w:t>
      </w:r>
    </w:p>
    <w:p>
      <w:pPr>
        <w:spacing w:after="0" w:line="17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Competition that AMX0035 or any future products, if approved, may face from generic versions of such products could negatively impact our future revenue, profitability and cash flows and substantially limit our ability to obtain a return on our investments in those product candidates.</w:t>
      </w:r>
    </w:p>
    <w:p>
      <w:pPr>
        <w:spacing w:after="0" w:line="15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AMX0035 and any other current or future product candidates, if approved, could be subject to post-marketing restrictions, requirements or withdrawal from the market and we, or any future collaborators, may be subject to substantial penalties if we, or they, fail to comply with regulatory requirements or if we, or they, experience unanticipated problems with our products following approval, which may result in significant expenses.</w:t>
      </w:r>
    </w:p>
    <w:p>
      <w:pPr>
        <w:spacing w:after="0" w:line="17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AMX0035 or any other current or future product candidates for which we, or any future collaborators, obtain regulatory approval, as well as the manufacturing processes, post-approval studies, labeling, advertising and promotional activities for such product, among other things, will be subject to ongoing requirements of and review by the FDA, Health Canada, the EMA and other applicable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For certain commercial prescription drug products, manufacturers and other parties involved in the supply chain must also meet chain of distribution requirements and build electronic, interoperable systems for product tracking and tracing and notify the FDA of counterfeit, diverted, stolen and intentionally adulterated products or other products that are otherwise unfit for distribution in the U.S. We and our contract manufacturers will also be subject to user fees and periodic inspection by regulatory authorities to monitor compliance with these requirements and the terms of any product approval we may obtain. Even if regulatory approval of a product candidate is granted, the approval may be subject to limitations on the indications or uses for which the product may be marketed or to the conditions of approval, including the requirement in the U.S. to implement a Risk Evaluation and Mitigation Strategy, or REMS.</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FDA, Health Canada, the EMA and other regulatory authorities may also impose requirements for costly post-marketing studies or clinical trials and surveillance to monitor the safety or efficacy of a product. For example, as part of our approval of RELYVRIO in the U.S., we have post-marketing requirements to conduct carcinogenicity studies in mice and rats, drug-drug interaction studies in human volunteers, and studies in subjects with kidney or liver impairment. Additionally,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Regulatory authorities impose stringent restrictions on manufacturers’ communications regarding off-label use. However, companies generally may share truthful and not misleading information that is otherwise consistent with a product’s approved labeling. If we, or any future collaborators, do not market AMX0035 or any of our other current or future product candidates for which we, or they, receive regulatory approval for only their approved indications, we, or they, may be subject to warnings or enforcement action for off-label marketing if it is alleged that we are doing so. Violation of laws and regulations relating to the promotion and advertising of prescription drugs may lead to investigations or allegations of violations of federal and state health care fraud and abuse laws and state consumer protection laws, including the False Claims Act and any comparable foreign laws. In the EU, the direct-to-consumer advertising of prescription-only medicinal products is prohibited. Violations of the rules governing the promotion of medicinal products in the EU could be penalized by administrative measures, fines and imprisonment. These laws may further limit or restrict the advertising and promotion of our products to the general public, if approved, and may also impose limitations on our promotional activities with health care professionals.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Post-marketing requirements in Canada are similar to those in the U.S. Following the approval of our New Drug Submission, or NDS with conditions, Health Canada requires that we submit a Risk Management Plan, or RMP. Health Canada may, as part of the RMP, require that we conduct additional clinical trials. For example, one of the conditions of the marketing authorization in Canada of AMX0035 (ALBRIOZA) is the provision of data from our ongoing PHOENIX trial and other additional planned or ongoing studies. Standard pharmacovigilance activities are also required for any marketed drug product. Any labelling changes or changes in the product supply chain would require a submission to Health Canada for approval before the change may be implemented. Our advertising may be scrutinized by competitors or by health care providers, and complaints could be made to Health Canada or other agencies. Reimbursement in Canada is complex and requires submissions to both public and private payors to gain access to prescription drug formulary lists. In addition, if there are any patents associated with AMX0035, the product will be subject to price regulation by the Patented Medicine Prices Review Board, or the PMPRB.</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64" w:name="page65"/>
    <w:bookmarkEnd w:id="64"/>
    <w:p>
      <w:pPr>
        <w:ind w:right="120"/>
        <w:spacing w:after="0" w:line="28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55"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manufacturing of such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such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federal health care programs such as Medicare and Medicaid;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post-approval regulatory requirements, we could have the marketing approvals for AMX0035 or any future approved products withdrawn or restricted by regulatory authorities, or we may voluntarily do so, and our ability to market AMX0035 or any future approved products, to develop AMX0035 in the U.S., Canada or additional jurisdictions or for additional indications, and to develop and seek approval for additional product candidates could become limited, which could adversely affect our ability to achieve or sustain profitability. As a result, the cost of compliance with post-approval regulatory requirements may have a negative effect on our operating results and financial condition.</w:t>
      </w:r>
    </w:p>
    <w:p>
      <w:pPr>
        <w:spacing w:after="0" w:line="1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coverage and reimbursement for AMX0035 or any other current or future product candidates in new geographies, it could make it difficult for us to sell AMX0035 or any other current or future product candidates profitably.</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success of AMX0035 and any of our other current or future product candidates, if approved, depends on the availability of adequate coverage and reimbursement from third-party payors. Because AMX0035 and any other current or future product candidates represent new approaches to the treatment of the diseases they target, we cannot be sure that coverage and reimbursement will be available for, or accurately estimate the potential revenue from, AMX0035 and any other current or future product candidates or for any product that we may develop. If we are unable to obtain adequate levels of reimbursement, our ability to successfully market and sell any such product candidates will be adversely affected. The manner and level at which reimbursement is provided for services related to any current or future product candidates we may develop (e.g., for the administration of our product candidate to patients) is also important. Inadequate reimbursement for such services may lead to physician and payor resistance and adversely affect our ability to market or sell AMX0035 or any other current or future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payors do not adopt such models, our business, financial condition, results of operations and prospects could be adversely affected. For additional information on coverage and reimbursement, see the section entitled “Business—Government Regulation—Coverage and Reimbursement” in this Annual Report.</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such as private health insurers and health maintenance organizations, are critical to new product acceptance. Government authorities and other third-party payors decide which drugs and treatments they will cover and the reimbursement amount. Coverage and reimbursement by a third-party payor may depend upon a number of factors.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65" w:name="page66"/>
    <w:bookmarkEnd w:id="65"/>
    <w:p>
      <w:pPr>
        <w:ind w:right="20"/>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 consuming and costly process that could require us to provide to each payor supporting scientific, clinical and cost-effectiveness data for the use of our products on a payor-by-payor basis, with no assurance that coverage and adequate reimbursement from third-party payors will be obtained. There is significant uncertainty related to the insurance coverage and reimbursement of newly approved products, which uncertainty may be heightened where the product is subject to post-marketing conditions or requirements to provide additional clinical data. In the U.S.,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Even if we obtain coverage for a given product, the resulting reimbursement payment rates might not be adequate for us to achieve or sustain profitability or may require co-payments that patients find unacceptably high. Future coverage and reimbursement may be subject to increased restrictions, such as prior authorization requirements, both in the U.S. and in international markets. Orphan drugs are typically placed on the highest cost-sharing tier and a substantial percentage are subject to prior authorization requirements. Reimbursement agencies in the EU may be more conservative than CMS.</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Canada, the EU and other countries has and will continue to put pressure on the pricing and usage of drug products such as AMX0035 and any other current or future product candidates we may develop, if approved. We may also incur additional challenges when seeking reimbursement from public and private payers where AMX0035 or any future product candidate has been approved subject to post-marketing conditions.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For example, in Canada, price negotiations with provincial authorities can take more than 18 months before there are agreed-upon pricing and reimbursement rates. Prior to these negotiations, a review by CADTH and INESSS are conducted to assess the value that a medicine will provide to the health system. For patented medicines, the PMPRB has jurisdiction over the price at which the medicine is sold, and PMPRB’s assessment of an acceptable price can impact negotiations with payors. Such negotiations may also result in additional studies and rationale required for combination products before reimbursement will be granted.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U.S., the reimbursement for AMX0035 and any other current or future product candidates we may develop may be reduced compared with the U.S. and may be insufficient to generate commercially reasonable revenues and profits.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third-party payors may not cover, or provide adequate reimbursement for, long-term follow-up evaluations required following the use of product candidates. Patients are unlikely to use AMX0035 or any other current or future product candidates unless coverage is provided and reimbursement is adequate to cover a significant portion of the cost of AMX0035 or any future product candidates. Because AMX0035 and any other current or future product candidates may have a higher cost of goods than conventional therapies and may require long-term follow-up evaluations, the risk that coverage and reimbursement rates may be inadequate for us to sustain profitability may be greater. While we have received a positive response from some providers in Canada following Health Canada’s approval with conditions of AMX0035 for the treatment of ALS, there is significant uncertainty related to insurance coverage and reimbursement. It is difficult to predict at this time what third-party payors will decide with respect to the coverage and reimbursement for AMX0035 and any other current or future product candidates.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Canada, the EU, and other foreign jurisdictions to cap or reduce healthcare costs may cause such organizations to limit both coverage and the level of reimbursement for newly approved products and, as a result, they may not cover or provide adequate payment for AMX0035 or any other current or future product candidates. There has been increasing legislative and enforcement interest in the U.S. with respect to specialty drug pricing practices. We expect to experience pricing pressures in connection with the sale of AMX0035 or any other current or future product candidates due to the trend toward managed healthcare, the increasing influence of health maintenance organizations, cost containment initiatives and additional legislative changes.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entitled “</w:t>
      </w:r>
      <w:r>
        <w:rPr>
          <w:rFonts w:ascii="Times New Roman" w:cs="Times New Roman" w:eastAsia="Times New Roman" w:hAnsi="Times New Roman"/>
          <w:sz w:val="18"/>
          <w:szCs w:val="18"/>
          <w:i w:val="1"/>
          <w:iCs w:val="1"/>
          <w:color w:val="auto"/>
        </w:rPr>
        <w:t>Business – Government Regulation – Current and Future U.S. Healthcare Reform Legislation</w:t>
      </w:r>
      <w:r>
        <w:rPr>
          <w:rFonts w:ascii="Times New Roman" w:cs="Times New Roman" w:eastAsia="Times New Roman" w:hAnsi="Times New Roman"/>
          <w:sz w:val="18"/>
          <w:szCs w:val="18"/>
          <w:color w:val="auto"/>
        </w:rPr>
        <w:t>” in this Annual Report.</w:t>
      </w:r>
    </w:p>
    <w:p>
      <w:pPr>
        <w:spacing w:after="0" w:line="182"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31"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AMX0035 or any other current or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that may be adopted in the future may result in additional reductions in Medicare and other healthcare funding and otherwise affect the prices we may obtain for AMX0035 or any other current or future product candidates for which we may obtain regulatory approval or the frequency with which any such product candidate is prescribed or used. Any reduction in reimbursement from Medicare or other government programs may result in a similar reduction in payments from private payors. The implementation of cost containment measures or other healthcare reforms may prevent us from being able to generate revenue, sustain profitability or commercialize our product candidates.</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effect of these reform efforts on our business and the healthcare industry in general is not yet known.</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While some of these and other proposed measures may require additional authorization to become effective, Congress and the Biden administration have each indicated that it will continue to seek new legislative and/or administrative measures to control drug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may impose strict price controls, which may adversely affect our revenues, if any.</w:t>
      </w:r>
    </w:p>
    <w:p>
      <w:pPr>
        <w:spacing w:after="0" w:line="22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In some countries, including Canada and certain Member States of the EU, the pricing of prescription drugs is, in part, subject to governmental control. Additional countries may adopt similar approaches to the pricing of prescription drugs. In such countries, pricing negotiations with governmental authorities can take considerable time after receipt of regulatory approval for a product.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In addition, there can be considerable pressure by governments and other stakeholders on prices and reimbursement levels, including as part of cost containment measures. Political, economic and regulatory developments may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67" w:name="page68"/>
    <w:bookmarkEnd w:id="67"/>
    <w:p>
      <w:pPr>
        <w:ind w:right="40"/>
        <w:spacing w:after="0" w:line="254" w:lineRule="auto"/>
        <w:rPr>
          <w:sz w:val="20"/>
          <w:szCs w:val="20"/>
          <w:color w:val="auto"/>
        </w:rPr>
      </w:pPr>
      <w:r>
        <w:rPr>
          <w:rFonts w:ascii="Times New Roman" w:cs="Times New Roman" w:eastAsia="Times New Roman" w:hAnsi="Times New Roman"/>
          <w:sz w:val="18"/>
          <w:szCs w:val="18"/>
          <w:color w:val="auto"/>
        </w:rPr>
        <w:t>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In some countries, we may be required to conduct a clinical trial or other trials that compare the cost-effectiveness of AMX0035 or any other current or future product candidates to other available therapies in order to obtain or maintain reimbursement or pricing approval, which is time-consuming and costly. We cannot be sure that such prices and reimbursement will be acceptable to us.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strategic partners and the potential profitability of AMX0035 or any other current or future product candidates in those countries would be negatively affected.</w:t>
      </w:r>
    </w:p>
    <w:p>
      <w:pPr>
        <w:spacing w:after="0" w:line="18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patients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see the section entitled “</w:t>
      </w:r>
      <w:r>
        <w:rPr>
          <w:rFonts w:ascii="Times New Roman" w:cs="Times New Roman" w:eastAsia="Times New Roman" w:hAnsi="Times New Roman"/>
          <w:sz w:val="18"/>
          <w:szCs w:val="18"/>
          <w:i w:val="1"/>
          <w:iCs w:val="1"/>
          <w:color w:val="auto"/>
        </w:rPr>
        <w:t>Business – Government Regulation - Other U.S. Healthcare Laws</w:t>
      </w:r>
      <w:r>
        <w:rPr>
          <w:rFonts w:ascii="Times New Roman" w:cs="Times New Roman" w:eastAsia="Times New Roman" w:hAnsi="Times New Roman"/>
          <w:sz w:val="18"/>
          <w:szCs w:val="18"/>
          <w:color w:val="auto"/>
        </w:rPr>
        <w:t>” in this Annual Report.</w:t>
      </w:r>
    </w:p>
    <w:p>
      <w:pPr>
        <w:spacing w:after="0" w:line="1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 we offer programs to assist them or support third-party organizations’ programs to assist patients,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September 2014, the HHS Office of Inspector General, or OIG,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and the same is true for our Amylyx Care Team.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such as RELYVRIO in the U.S., and therefore could have a material adverse effect on our sales, business, and financial condition.</w:t>
      </w:r>
    </w:p>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Third party patient assistance programs that receive financial support from companies have also become the subject of enhanced government and regulatory scrutiny. The OIG has established guidelines that suggest that it is lawful for pharmaceutical manufacturers to make donations to charitable organizations who provide co-pay assistance to Medicare patients. However, donations to patient assistance programs have received some negative publicity and have been the subject of multiple government enforcement actions, related to allegations regarding their misuse to promote branded pharmaceutical products over other less costly alternatives. Specifically, in recent years, there have been multiple settlements resulting out of government claims challenging the legality of third party patient assistance programs under a variety of federal and state laws. We have in the past and may, from time to time, make charitable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provision of charitable donations or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vendors or charitable foundations that may violate the laws or regulations of the jurisdictions in which we operate. Regardless of whether we have complied with the law, a government investigation, including of any business partners, vendors or charitable foundations,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8" w:name="page69"/>
    <w:bookmarkEnd w:id="68"/>
    <w:p>
      <w:pPr>
        <w:ind w:right="700"/>
        <w:spacing w:after="0" w:line="281" w:lineRule="auto"/>
        <w:rPr>
          <w:sz w:val="20"/>
          <w:szCs w:val="20"/>
          <w:color w:val="auto"/>
        </w:rPr>
      </w:pPr>
      <w:r>
        <w:rPr>
          <w:rFonts w:ascii="Times New Roman" w:cs="Times New Roman" w:eastAsia="Times New Roman" w:hAnsi="Times New Roman"/>
          <w:sz w:val="18"/>
          <w:szCs w:val="18"/>
          <w:color w:val="auto"/>
        </w:rPr>
        <w:t>could impact our business practices, harm our reputation, divert the attention of management, increase our expenses, and reduce the availability of foundation support for our patients who need assistance.</w:t>
      </w:r>
    </w:p>
    <w:p>
      <w:pPr>
        <w:spacing w:after="0" w:line="16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distribution of pharmaceutical products is also subject to additional requirements and regulations, including extensive recordkeeping, licensing, storage and security requirements intended to prevent the unauthorized sale of pharmaceutical products.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The scope and enforcement of each of these laws is uncertain and subject to rapid change in the current environment of healthcare reform.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successfully defend against any such actions that may be brought against us, our business may be impaired. If any of the physicians or other providers or entities with whom we expect to do business is found to not comply with applicable laws, they may be subject to significant criminal, civil or administrative sanctions, including exclusions from government-funded healthcare programs and imprisonment. If any of the above occur, it could adversely affect our ability to operate our business and our results of operations.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program, the U.S. Department of Veterans Affairs, Federal Supply Schedule, or FSS, pricing program, and the Tricare Retail Pharmacy program, which require us to disclose average manufacturer pricing, and, in the future may require us to report the average sales price for certain of our drugs to the Medicare program. Pricing and rebate calculations vary across products and programs, are complex, and are often subject to interpretation by us, governmental or regulatory agencies and the courts. Furthermore, regulatory and legislative changes, and judicial rulings relating to these programs and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For example,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increase our costs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Additionally, our agreement to participate in the 340B program or our Medicaid drug rebate agreement could be terminated, in which case federal payments may not be available under Medicaid or Medicare Part D for our covered outpatient drugs. Additionally, if we overcharge the government in connection with our arrangements with FSS or Tricare Retail Pharmacy,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69" w:name="page70"/>
    <w:bookmarkEnd w:id="69"/>
    <w:p>
      <w:pPr>
        <w:ind w:right="120"/>
        <w:spacing w:after="0" w:line="258" w:lineRule="auto"/>
        <w:rPr>
          <w:sz w:val="20"/>
          <w:szCs w:val="20"/>
          <w:color w:val="auto"/>
        </w:rPr>
      </w:pPr>
      <w:r>
        <w:rPr>
          <w:rFonts w:ascii="Times New Roman" w:cs="Times New Roman" w:eastAsia="Times New Roman" w:hAnsi="Times New Roman"/>
          <w:sz w:val="18"/>
          <w:szCs w:val="18"/>
          <w:color w:val="auto"/>
        </w:rPr>
        <w:t>rebate amount could affect our 340B ceiling price calculations and negatively impact our results of operations. Additionally, certain pharmaceutical manufacturers are involved in ongoing litigation regarding contract pharmacy arrangements under the 340B program. For example, on November 3, 2023, the U.S. District Court of South Carolina issued an opinion in Genesis Healthcare Inc. v. Becerra et al. that may lead to an expansion of the scope of patients eligible to access prescriptions at 340B pricing. The outcome of this and other judicial proceedings on the 340B program and the potential impact on the way in which manufacturers extend discounts to covered entities through contract pharmacies under the 340B program remain uncertain.</w:t>
      </w:r>
    </w:p>
    <w:p>
      <w:pPr>
        <w:spacing w:after="0" w:line="17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information processing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EEA, including personal health data, is subject to the GDPR, and similarly, processing of personal data regarding individuals in the UK, including personal health data, is subject to the UK GDPR, and together with the EU GDPR, the GDPR. The GDPR is wide-ranging in scope and imposes numerous requirements on companies that process personal data, including requirements relating to processing health and other sensitive data, obtaining the consent of the individuals to whom the personal data relates, providing detailed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EEA/UK that are not considered by the European Commission and the UK government as providing “adequate” protection to personal data, including the U.S., and, as a result, increases the scrutiny that clinical trial sites located in the EEA should apply to transfers of personal data from such sites to countries that are considered to lack an adequate level of data protection, such as the U.S. Such transfers of personal data outside of the EEA and UK are prohibited unless a valid GDPR transfer mechanism (for example, the European Commission approved Standard Contractual Clauses, or SCCs,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 Any inability to transfer personal data from the EEA and UK to the United States in compliance with data protection laws may impede our ability to conduct trials and may adversely affect our business and financial position. The GDPR also permits data protection authorities to require the destruction of improperly gathered or used personal information and or impose substantial fines for violations of the GDPR, which can be up to four percent of global revenues or €20 million (£17.5 million under the UK GDPR), whichever is greater and it also confers a private right of action on data subjects and consumer associations to lodge complaints with supervisory authorities, seek judicial remedies, and obtain compensation for damages resulting from violations of the GDPR. Although the UK is regarded as a third country under the EU GDPR, the European Commission has now issued a decision recognizing the UK as providing adequate protection under the EU GDPR, or Adequacy Decision, and, therefore, transfers of personal data originating in the EEA to the UK remain unrestricted. The UK Government has introduced a Data Protection and Digital Information Bill, or UK Bill, into the UK legislative process to reform the UK’s data protection regime, and if passed, the final version of the UK Bill may have the effect of further altering the similarities between the UK and EEA data protection regimes and threaten the UK Adequacy Decision from the European Commission, which may lead to additional compliance costs for us and could increase our overall risk. It is unclear how UK data protection laws and regulations will develop in the medium to longer term, and how data transfers to and from the UK will be regulated in the long term. Although the EU GDPR and the EU GDPR currently impose substantially similar obligations, it is possible that over the time the UK GDPR could become less aligned with the EU GDPR. In addition, EU member states have adopted national laws to supplement the EU GDPR, which may partially deviate from the EU GDPR, and the competent authorities in the EU Member States may interpret EU GDPR obligations slightly differently from country to country, such that we do not expect to operate in a uniform legal landscape in the EEA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cost to the handling of European personal data and our privacy and data security compliance programs could require us to implement different compliance measures for the UK and EEA.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0" w:name="page71"/>
    <w:bookmarkEnd w:id="70"/>
    <w:p>
      <w:pPr>
        <w:ind w:right="20"/>
        <w:spacing w:after="0" w:line="253" w:lineRule="auto"/>
        <w:rPr>
          <w:sz w:val="20"/>
          <w:szCs w:val="20"/>
          <w:color w:val="auto"/>
        </w:rPr>
      </w:pPr>
      <w:r>
        <w:rPr>
          <w:rFonts w:ascii="Times New Roman" w:cs="Times New Roman" w:eastAsia="Times New Roman" w:hAnsi="Times New Roman"/>
          <w:sz w:val="18"/>
          <w:szCs w:val="18"/>
          <w:color w:val="auto"/>
        </w:rPr>
        <w:t>Similar legal requirements are either in place or are being proposed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are all aggressive in reviewing consumers’ privacy and data security protections. New laws also are being considered at both the state and federal levels. For example, the California Consumer Privacy Act— which went into effect on January 1, 2020 and which was recently amended by the California Privacy Rights Act —is creating similar risks and obligations as those created by GDPR. Though the Act does exempt certain information collected as part of a clinical trial subject to the Federal Policy for the Protection of Human Subjects, or the Common Rule, it does apply to other personal information that we may otherwise handle, such as personal information collected in a business to business context and personal information collected from employees, applicants and retirees residing in California. Similar broad consumer privacy laws have already been passed in numerous states, and laws in Virginia, Colorado and Connecticut already have entered into force. In addition, bills for broad consumer privacy laws are being considered in numerous other states and at the federal level.</w:t>
      </w:r>
    </w:p>
    <w:p>
      <w:pPr>
        <w:spacing w:after="0" w:line="19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Compliance with the above requirements and any other data privacy and data security laws and regulations is a rigorous and time-intensive process and requires significant resources and an ongoing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and Future Product Candidates</w:t>
      </w:r>
    </w:p>
    <w:p>
      <w:pPr>
        <w:spacing w:after="0" w:line="225"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depend on the success of AMX0035, our most advanced product candidate. If we are unable to maintain, or obtain additional, regulatory approvals for, and successfully commercialize, AMX0035, or experience significant delays in doing so, our business may be materially harmed.</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only have one commercial product, AMX0035, which is marketed as RELYVRIO in the U.S. and ALBRIOZA in Canada, and our current business and future success depends significantly on our ability to maintain regulatory approvals for and continue to successfully commercialize AMX0035 for ALS, and to develop, maintain and obtain additional regulatory approvals for and successfully commercialize AMX0114 for ALS and AMX0035 in additional jurisdictions and for other indications, such as PSP, WS, AD and other neurological diseases. To date, we have obtained limited clinical trial data supporting AMX0035, having only completed a clinical trial of 137 patients with ALS and a clinical trial in 95 patients with AD. We are conducting a global Phase 3 clinical trial of AMX0035 in ALS, a Phase 2 clinical trial of AMX0035 in WS, and a global Phase 3 clinical trial of AMX0035 in PSP, and intend to conduct additional clinical trials for other indications and product candidates in the future. We are also conducting IND-enabling studies of AMX0114 in ALS and plan to initiate clinical trials in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1" w:name="page72"/>
    <w:bookmarkEnd w:id="71"/>
    <w:p>
      <w:pPr>
        <w:ind w:right="20"/>
        <w:spacing w:after="0" w:line="255" w:lineRule="auto"/>
        <w:rPr>
          <w:sz w:val="20"/>
          <w:szCs w:val="20"/>
          <w:color w:val="auto"/>
        </w:rPr>
      </w:pPr>
      <w:r>
        <w:rPr>
          <w:rFonts w:ascii="Times New Roman" w:cs="Times New Roman" w:eastAsia="Times New Roman" w:hAnsi="Times New Roman"/>
          <w:sz w:val="18"/>
          <w:szCs w:val="18"/>
          <w:color w:val="auto"/>
        </w:rPr>
        <w:t>We received approval from the FDA for RELYVRIO for the treatment of ALS in adults and marketing authorization with conditions from Health Canada for ALBRIOZA for the treatment of ALS, but we have not yet obtained marketing authorization from the EU following adoption of a negative opinion on our application. If the results of our PHOENIX trial are supportive, we plan to resubmit a MAA for AMX0035 for the treatment of ALS in the EU again as quickly as possible. Accordingly, we are investing the majority of our efforts and financial resources in the further development and commercialization of AMX0035 for the treatment of ALS and other diseases. Successful continued development and additional regulatory approvals of AMX0035 for our initial and potential additional indications is critical to the future success of our business. We will need to have sufficient funds for, and successfully enroll and complete, our clinical development of AMX0035 for the treatment of ALS, PSP, WS, AD and other indications.</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future regulatory and commercial success of AMX0035 or any other current or future product candidates are subject to a number of risks, including the following:</w:t>
      </w:r>
    </w:p>
    <w:p>
      <w:pPr>
        <w:spacing w:after="0" w:line="55"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clinical trials;</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preclinical studies and clinical trials that supports an acceptable risk-benefit profile of AMX0035 or any other current or future product candidates in the intended populations;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applicable regulatory requirements, including to satisfy applicable rules governing fixed dose combination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our preclinical and clinical data by regulatory authorities to support marketing approvals;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safety issues or adverse side effects;</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 including with any expected NCE and new clinical investigation data exclusivity and orphan drug market exclusivity;</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AMX0035 or any other current or future product candidates;</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AMX0035 or any other current or future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AMX0035 or any other current or future product candidates;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312"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marketing and distribution capabilities and launching commercial sales of our products, including of RELYVRIO in the U.S., ALBRIOZA in Canada and AMX0035, if and when approved in other jurisdictions, whether alone or in collaboration with others;</w:t>
      </w:r>
    </w:p>
    <w:p>
      <w:pPr>
        <w:spacing w:after="0" w:line="31" w:lineRule="exact"/>
        <w:rPr>
          <w:rFonts w:ascii="Times New Roman" w:cs="Times New Roman" w:eastAsia="Times New Roman" w:hAnsi="Times New Roman"/>
          <w:sz w:val="17"/>
          <w:szCs w:val="17"/>
          <w:color w:val="auto"/>
        </w:rPr>
      </w:pPr>
    </w:p>
    <w:p>
      <w:pPr>
        <w:ind w:left="1020" w:right="78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conducting commercial sales of RELYVRIO in the U.S., ALBRIOZA in Canada and AMX0035 or any future product candidates, if and when approved in other jurisdictions;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AMX0035, or any other products, if and when approved,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identifying patients with the neurological diseases targeted by AMX0035 or any other current or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we promote and distribute our products consistent with all applicable healthcare laws;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obtain or maintain additional regulatory approvals for, or successfully</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72" w:name="page73"/>
    <w:bookmarkEnd w:id="72"/>
    <w:p>
      <w:pPr>
        <w:ind w:right="100"/>
        <w:spacing w:after="0" w:line="281" w:lineRule="auto"/>
        <w:rPr>
          <w:sz w:val="20"/>
          <w:szCs w:val="20"/>
          <w:color w:val="auto"/>
        </w:rPr>
      </w:pPr>
      <w:r>
        <w:rPr>
          <w:rFonts w:ascii="Times New Roman" w:cs="Times New Roman" w:eastAsia="Times New Roman" w:hAnsi="Times New Roman"/>
          <w:sz w:val="18"/>
          <w:szCs w:val="18"/>
          <w:color w:val="auto"/>
        </w:rPr>
        <w:t>commercialize AMX0035 for the indications we are developing it for, or if we experience delays as a result of any of these risks or otherwise, our business could be materially harmed.</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of the large number of drugs in development in the pharmaceutical industry, only a small percentage result in the submission of marketing applications to regulatory authorities, and even fewer are approved for commercialization. Furthermore, even if we do receive regulatory approval for AMX0035 for any indication, or for AMX0114, any such approval may be subject to limitations on the indications or uses or the patient populations for which we may market the product. Additionally, may not realize the full commercial potential of AMX0035 or any other current or future product candidates that receive marketing approval if we are unable to appropriately identify patients with the neurological diseases targeted by AMX0035 or any other current or future product candidates. Accordingly, even if we are able to obtain the requisite financing to continue to fund our development activities, we cannot assure you that we will successfully develop or commercialize AMX0035 or AMX0114 for any indication in any jurisdiction. If we or any of our future collaborators are unable to develop, maintain, or obtain additional, regulatory approvals for, or, if approved, successfully commercialize AMX0035 or AMX0114 for our initial or potential additional indications, we may not be able to generate sufficient revenue to continue our business. In addition, our failure to demonstrate positive results in our clinical trials in any indication for which we are developing AMX0035 or AMX0114, or to satisfy other regulatory requirements could adversely affect our development efforts for AMX0035 in other indications or for AMX0114.</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delay or denial of regulatory approval, inability to complete post-marketing requirements and post-market obligations, or the requirement to resubmit any marketing application with additional data or information for AMX0035 in any jurisdiction could delay or suspend commercialization of AMX0035 and adversely impact our ability to generate revenue, our business and our results of operations, and could cause us delay or even cease operations.</w:t>
      </w:r>
    </w:p>
    <w:p>
      <w:pPr>
        <w:spacing w:after="0" w:line="1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research, testing, manufacturing, labeling, approval, sale, marketing, distribution and post-market obligations of drug products are subject to extensive regulation by the FDA, Health Canada, the EMA, and other regulatory agencies in the U.S. and other countries, and such regulations differ from country to country. In September 2022, we received approval from the FDA for AMX0035 (RELYVRIO) for the treatment of ALS in adults and, as part of our approval of RELYVRIO in the U.S., we have post-marketing requirements to conduct carcinogenicity studies in mice and rats, drug-drug interaction studies, and studies in patients with kidney or liver impairment. We also received marketing authorization with conditions from Health Canada for AMX0035 (ALBRIOZA) for the treatment of ALS. One of the conditions of the approval in Canada is the provision of data from our ongoing global PHOENIX trial and additional planned or ongoing studies. We have also pursued regulatory approval of AMX0035 for the treatment of ALS in the EU, but we have not yet obtained marketing authorization from the European Commission following adoption of a negative opinion on our application.. If the results of PHOENIX are supportive, we plan to seek approval of AMX0035 for the treatment of ALS in the EU again as quickly as possible, however it is possible that we may be unable to successfully achieve European Commission approval.</w:t>
      </w:r>
    </w:p>
    <w:p>
      <w:pPr>
        <w:spacing w:after="0" w:line="19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FDA, Health Canada, the EMA or any other foreign regulatory agency can delay, limit, deny or withdraw approval to market AMX0035 for many reasons, including:</w:t>
      </w:r>
    </w:p>
    <w:p>
      <w:pPr>
        <w:spacing w:after="0" w:line="55" w:lineRule="exact"/>
        <w:rPr>
          <w:sz w:val="20"/>
          <w:szCs w:val="20"/>
          <w:color w:val="auto"/>
        </w:rPr>
      </w:pPr>
    </w:p>
    <w:p>
      <w:pPr>
        <w:ind w:left="1020" w:right="18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Health Canada, the EMA or any other applicable foreign regulatory agency that AMX0035 is safe and effective for the requested indication;</w:t>
      </w:r>
    </w:p>
    <w:p>
      <w:pPr>
        <w:spacing w:after="0" w:line="54"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gain agreement from applicable foreign regulatory authorities that AMX0035 is appropriate for approval under applicable regulatory pathways;</w:t>
      </w:r>
    </w:p>
    <w:p>
      <w:pPr>
        <w:spacing w:after="0" w:line="54"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Health Canada’s, the EMA’s or any other applicable foreign regulatory agency’s disagreement with the interpretation of data from preclinical and clinical studies and trials, such as the FDA’s differing interpretations of certain data, including sensitivity and statistical analyses, from our CENTAUR trial and OLE as presented at the meetings of the FDA’s Advisory Committee on March 30, 2022 and September 7, 2022;</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AMX0035 outweigh any safety or other perceived risks;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that our global Phase 3 PHOENIX trial is insufficient to support current or additional marketing authorizations in ALS;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Health Canada’s, the EMA’s or any other applicable foreign regulatory agency’s requirement for additional preclinical or clinical studies or trials, including studies to satisfy applicable rules governing fixed dose combination products or post-market requirements;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3" w:name="page74"/>
    <w:bookmarkEnd w:id="73"/>
    <w:p>
      <w:pPr>
        <w:ind w:left="1020" w:right="60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Health Canada’s, the EMA’s or any other applicable foreign regulatory agency’s having differing requirements for the trial protocols used in our clinical trials;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Health Canada’s, the EMA’s or any other applicable foreign regulatory agency’s non-approval of the formulation, labeling and/or the specifications of AMX0035;</w:t>
      </w:r>
    </w:p>
    <w:p>
      <w:pPr>
        <w:spacing w:after="0" w:line="5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Health Canada’s, the EMA’s or any other applicable foreign regulatory agency’s failure to accept the manufacturing processes or third-party manufacturers with which we contract; or</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the FDA, of Health Canada, the EMA or any other applicable foreign regulatory agencies to significantly change in a manner rendering our clinical data insufficient for approval.</w:t>
      </w:r>
    </w:p>
    <w:p>
      <w:pPr>
        <w:spacing w:after="0" w:line="16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Health Canada, the EMA or other regulatory approval processes and are commercialized.</w:t>
      </w:r>
    </w:p>
    <w:p>
      <w:pPr>
        <w:spacing w:after="0" w:line="16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FDA or the applicable foreign regulatory agency may also approve AMX0035 for a more limited indication and/or a narrower patient population than we originally request, and the FDA, Health Canada, the EMA or any other applicable foreign regulatory agency may not approve the labeling that we believe is necessary or desirable for the successful commercialization of AMX0035. Any delay in obtaining, or inability to obtain, applicable regulatory approval would delay or prevent commercialization of AMX0035 and would materially adversely impact our business and prospects.</w:t>
      </w:r>
    </w:p>
    <w:p>
      <w:pPr>
        <w:spacing w:after="0" w:line="17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AMX0035 is a fixed-dose combination drug product and certain regulatory authorities may require a demonstration that each component makes a contribution to the claimed effects in addition to demonstrating that the combination is safe and effective for the intended population.</w:t>
      </w:r>
    </w:p>
    <w:p>
      <w:pPr>
        <w:spacing w:after="0" w:line="15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Under the FDA’s combination rule, the FDA may not file or approve an NDA for a fixed-dose combination product unless each component of a proposed drug product is shown to make a contribution to the claimed effects and the dosage of each component (amount, frequency, duration) is safe and effective for the intended population. For additional information on FDA’s combination rule, see the section entitled “Business—Government Regulation— Combination Rule for Fixed-Dose Combination Products” in this Annual Report.</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Similar requirements may be imposed on us by the EMA in the EU and comparable regulatory authorities in other jurisdictions where we intend to seek regulatory approval. See the section entitled “Business—Government Regulation—Fixed-Dose Combination Guideline” in this Annual Report. In the EU, we have only submitted preclinical data to demonstrate the clinical effects of each component in AMX0035, PB and TURSO (also known as TUDCA), in our prior MAA. There can be no assurance that the EMA will conclude in a future MAA that our preclinical data are sufficient for these purposes or, even if they are, that the results from our preclinical studies demonstrate the clinical effects of each component in AMX0035 for the treatment of ALS. We may be required to produce clinical data supporting the contribution of each component when present at the levels included in the fixed-dose combination in order to obtain marketing authorization in the EU.</w:t>
      </w:r>
    </w:p>
    <w:p>
      <w:pPr>
        <w:spacing w:after="0" w:line="187" w:lineRule="exact"/>
        <w:rPr>
          <w:sz w:val="20"/>
          <w:szCs w:val="20"/>
          <w:color w:val="auto"/>
        </w:rPr>
      </w:pPr>
    </w:p>
    <w:p>
      <w:pPr>
        <w:jc w:val="both"/>
        <w:ind w:right="500"/>
        <w:spacing w:after="0" w:line="265" w:lineRule="auto"/>
        <w:rPr>
          <w:sz w:val="20"/>
          <w:szCs w:val="20"/>
          <w:color w:val="auto"/>
        </w:rPr>
      </w:pPr>
      <w:r>
        <w:rPr>
          <w:rFonts w:ascii="Times New Roman" w:cs="Times New Roman" w:eastAsia="Times New Roman" w:hAnsi="Times New Roman"/>
          <w:sz w:val="18"/>
          <w:szCs w:val="18"/>
          <w:color w:val="auto"/>
        </w:rPr>
        <w:t>While the FDA has approved AMX0035 (known as RELYVRIO) as a fixed-dose combination product for the treatment of ALS in adults, we may be required by the FDA and comparable foreign regulatory authorities to satisfy the fixed-dose combination rule for AMX0035 or any other fixed-dose combination products we may develop for the treatment of any other indications we may pursue in advance of approval.</w:t>
      </w:r>
    </w:p>
    <w:p>
      <w:pPr>
        <w:spacing w:after="0" w:line="1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FDA, the EMA or other comparable foreign regulatory authorities require us to conduct one or more clinical trials to support such a demonstration, such as a factorial study, the design, duration, and scope of such clinical trials will be decided upon after further discussions with those agencies and other comparable foreign regulatory authorities. As a result, we are unable to predict with certainty the estimated timing or scope of any future clinical trials of AMX0035 we may be required to conduct to satisfy these requirements governing fixed dose combination products in various jurisdictions. Ongoing third-party data in neurology, specifically within ALS, on our products or other products may influence regulatory decision making, including for fixed-dose combinations.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neurodegenerative and CNS disorders, a field that has seen very limited success in product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focused our research and development efforts on addressing neurodegenerative and CNS disorders. Historically,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4" w:name="page75"/>
    <w:bookmarkEnd w:id="74"/>
    <w:p>
      <w:pPr>
        <w:ind w:right="60"/>
        <w:spacing w:after="0" w:line="253" w:lineRule="auto"/>
        <w:rPr>
          <w:sz w:val="20"/>
          <w:szCs w:val="20"/>
          <w:color w:val="auto"/>
        </w:rPr>
      </w:pPr>
      <w:r>
        <w:rPr>
          <w:rFonts w:ascii="Times New Roman" w:cs="Times New Roman" w:eastAsia="Times New Roman" w:hAnsi="Times New Roman"/>
          <w:sz w:val="18"/>
          <w:szCs w:val="18"/>
          <w:color w:val="auto"/>
        </w:rPr>
        <w:t>efforts by pharmaceutical companies in the field of neurodegenerative and CNS disorders have experienced limited successes in product development. The development of neurodegenerative and CNS therapies presents unique challenges, including an imperfect understanding of the biology, the presence of the blood brain barrier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approved therapeutic options available for patients with ALS, AD and other neurodegenerative disorders. Our future success is highly dependent on the successful development and commercialization of AMX0035 and any other current or future product candidates for treating neurodegenerative and CNS disorders. Developing and commercializing AMX0035 and any other current or future product candidates for treatment of neurodegenerative and CNS disorders subjects us to a number of challenges, including ensuring that we have selected the optimal doses, executing an appropriate clinical trial to test for efficacy and obtaining and maintaining regulatory approval from Health Canada, the FDA, the EMA and other comparable foreign regulatory authorities.</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Health Canada, the EMA and other comparable foreign authorities are lengthy, time-consuming and inherently unpredictable, and if we are ultimately unable to maintain or obtain regulatory approval for AMX0035 or any other current or future product candidates, our business will be substantially harmed. A finding that our global Phase 3 PHOENIX trial is insufficient to support current or additional marketing authorizations in ALS could lead the FDA or Health Canada to restrict or withdraw prior regulatory approvals for RELYVRIO or ALBRIOZA, respectively, or we could decide, after consultation with regulatory authorities, to voluntarily withdraw RELYVRIO or ALBRIOZA from the marketplace, or we may not be successful in obtaining regulatory approval in the EU.</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any future collaborators, are not permitted to commercialize, market, promote or sell any product candidate in the U.S., Canada, or the EU without obtaining regulatory approval from the FDA, Health Canada, or the EMA, respectively. Regulatory authorities in other jurisdictions may have similar requirements. The time required to obtain approval by the FDA, Health Canada, the EMA and other comparable foreign regulatory authorities is unpredictable, and typically takes many years following the commencement of clinical trials and depends upon numerous factors, including substantial discretion of such regulatory authorities. In addition, approval policies, regulations, or the type and amount of clinical data necessary to gain approval may change during the course of a product candidate’s clinical development and may vary among jurisdictions. The FDA in any approval needs to determine that there is substantial evidence of effectiveness.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FDA regulations and guidance also allow for greater flexibility and tolerance for uncertainty in the context of rare and fatal diseases.</w:t>
      </w:r>
    </w:p>
    <w:p>
      <w:pPr>
        <w:spacing w:after="0" w:line="1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One of the conditions of the marketing authorization in Canada is the provision of data from our ongoing global PHOENIX Phase 3 clinical trial. There is no guarantee that Health Canada will accept the data from our PHOENIX trial as satisfying the conditions and grant a marketing authorization without conditions for ALBRIOZA for the treatment of ALS. Health Canada could require us to make further undertakings with respect to confirmatory clinical trials if it is not satisfied with the data from the PHOENIX trial, in order for AMX0035 to continue to be marketed in Canada. Additionally, the data may not support resubmission of the MAA for AMX0035 for the treatment of ALS in the EU.</w:t>
      </w:r>
    </w:p>
    <w:p>
      <w:pPr>
        <w:spacing w:after="0" w:line="18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approval of RELYVRIO by the FDA was granted following a positive recommendation for approval at the second virtual meeting of the Advisory Committee held on September 7, 2022. Although the FDA subsequently approved RELYVRIO for the treatment of ALS in adults, at this meeting and the previous Advisory Committee meeting, the FDA presented concerns regarding choices of statistical models for the prespecified primarily analysis and the interpretability of the survival results included in our marketing application. Other regulatory authorities may present similar concerns regarding our data when reviewed to support marketing applications for AMX0035 for the treatment of ALS. If PHOENIX is not supportive, the FDA could restrict or withdraw approval of AMX0035 or we may seek to withdraw AMX0035 from the market. If we experience delays in obtaining regulatory approval or if we fail to obtain or maintain such approvals, the commercial prospects for AMX0035 may be harmed and our ability to generate revenues or obtain additional approvals and the value of our common stock will be materially impaired.</w:t>
      </w:r>
    </w:p>
    <w:p>
      <w:pPr>
        <w:spacing w:after="0" w:line="18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AMX0035 for our initial and potential additional indications or any future product candidates, including AMX0114, is susceptible to the risk of failure inherent at any stage of development, including failure to demonstrate efficacy in a clinical trial or across a broad population of patients, the occurrence of adverse events that are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75" w:name="page76"/>
    <w:bookmarkEnd w:id="75"/>
    <w:p>
      <w:pPr>
        <w:ind w:right="20"/>
        <w:spacing w:after="0" w:line="253" w:lineRule="auto"/>
        <w:rPr>
          <w:sz w:val="20"/>
          <w:szCs w:val="20"/>
          <w:color w:val="auto"/>
        </w:rPr>
      </w:pPr>
      <w:r>
        <w:rPr>
          <w:rFonts w:ascii="Times New Roman" w:cs="Times New Roman" w:eastAsia="Times New Roman" w:hAnsi="Times New Roman"/>
          <w:sz w:val="18"/>
          <w:szCs w:val="18"/>
          <w:color w:val="auto"/>
        </w:rPr>
        <w:t>severe or medically or commercially unacceptable, failure to comply with protocols or applicable regulatory requirements, and determination by the FDA, Health Canada, the EMA or any other comparable foreign regulatory authority that a product candidate may not continue development or is not approvable. Additionally, our expenses could increase if we are required by the FDA, Health Canada, the EMA or any other comparable foreign regulatory authority to perform clinical trials in addition to those currently expected, or if there are any delays in completing our clinical trials or the development of AMX0035 in additional indications and of AMX0114. It is possible that even if AMX0035 or any other current or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AMX0035 or any other current or future product candidate that is greater than the actual positive effect, if any. Similarly, in our clinical trials we may fail to detect toxicity of or intolerability caused by AMX0035 or any other current or future product candidate, or mistakenly believe that AMX0035 or any other current or future product candidates are toxic or not well-tolerated when that is not in fact the case.</w:t>
      </w:r>
    </w:p>
    <w:p>
      <w:pPr>
        <w:spacing w:after="0" w:line="19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AMX0035 and AMX0114 could fail to obtain additional or initial regulatory approvals, and any of our future product candidates could fail to obtain regulatory approvals, for many reasons, including the following:</w:t>
      </w:r>
    </w:p>
    <w:p>
      <w:pPr>
        <w:spacing w:after="0" w:line="55" w:lineRule="exact"/>
        <w:rPr>
          <w:sz w:val="20"/>
          <w:szCs w:val="20"/>
          <w:color w:val="auto"/>
        </w:rPr>
      </w:pPr>
    </w:p>
    <w:p>
      <w:pPr>
        <w:ind w:left="1020" w:right="4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other comparable foreign regulatory authorities may disagree as to the design or implementation of our clinical trials and may require additional data to support regulatory approval;</w:t>
      </w:r>
    </w:p>
    <w:p>
      <w:pPr>
        <w:spacing w:after="0" w:line="54"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Health Canada, the EMA or other comparable foreign regulatory authorities that a product candidate is safe and effective for its proposed indication(s) and, if necessary, that a product candidate and any active components thereof are safe and effective for the proposed indication;</w:t>
      </w:r>
    </w:p>
    <w:p>
      <w:pPr>
        <w:spacing w:after="0" w:line="69"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Health Canada, the EMA or other comparable foreign regulatory authorities for approval;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and comparable authorities in other countries may disagree with our interpretation of data from clinical trials or preclinical studies and our request may require additional trials or studies to support marketing approval;</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AMX0035 or any other current or future product candidates may not be sufficient to support the submission of an NDA or other submission to the FDA or other comparable foreign regulatory authority to obtain regulatory approval in the U.S., Canada, the EU or elsewhere;</w:t>
      </w:r>
    </w:p>
    <w:p>
      <w:pPr>
        <w:spacing w:after="0" w:line="69" w:lineRule="exact"/>
        <w:rPr>
          <w:rFonts w:ascii="Times New Roman" w:cs="Times New Roman" w:eastAsia="Times New Roman" w:hAnsi="Times New Roman"/>
          <w:sz w:val="18"/>
          <w:szCs w:val="18"/>
          <w:color w:val="auto"/>
        </w:rPr>
      </w:pPr>
    </w:p>
    <w:p>
      <w:pPr>
        <w:jc w:val="both"/>
        <w:ind w:left="1020" w:right="140" w:hanging="504"/>
        <w:spacing w:after="0" w:line="26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other comparable foreign regulatory authorities may find deficiencies with clinical trial sites or fail to approve the manufacturing processes or facilities of third-party manufacturers with which we contract for clinical and commercial supplies; and</w:t>
      </w:r>
    </w:p>
    <w:p>
      <w:pPr>
        <w:spacing w:after="0" w:line="69" w:lineRule="exact"/>
        <w:rPr>
          <w:rFonts w:ascii="Times New Roman" w:cs="Times New Roman" w:eastAsia="Times New Roman" w:hAnsi="Times New Roman"/>
          <w:sz w:val="18"/>
          <w:szCs w:val="18"/>
          <w:color w:val="auto"/>
        </w:rPr>
      </w:pPr>
    </w:p>
    <w:p>
      <w:pPr>
        <w:ind w:left="1020" w:right="92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Health Canada, the EMA or other comparable foreign regulatory authorities may significantly change in a manner rendering our clinical data insufficient for approval.</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AMX0035 or any future product candidate we develop, which would significantly harm our business, results of operations and prospects. There is no assurance that the endpoints and trial designs used for the approval of currently approved drugs for the treatment of neurodegenerative diseases will be acceptable for future approvals, including for AMX0035 and AMX0114. The FDA, Health Canada, the EMA and other comparable foreign authorities have substantial discretion in the approval process and determining when or whether regulatory approval will be obtained for any product candidate that we develop. Even if we believe the data collected from past or future clinical trials of AMX0035 or any other current or future product candidates are promising, such data may not be sufficient to support approval by the FDA or any other regulatory authority.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reviews an NDA to determine whether the product is safe and effective for its intended use(s), with the latter determination being made on the basis of substantial evidence.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The FDA may not agree that this standard is met. Accordingly, there can be no assurance that for AMX0035 or any other current or future product candidates the FDA and other regulatory agencies, including Health Canada and the EMA, will not require additional clinical trials beyond what we may plan to conduct. This may be the case particularly as these regulatory authorities may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6" w:name="page77"/>
    <w:bookmarkEnd w:id="76"/>
    <w:p>
      <w:pPr>
        <w:spacing w:after="0" w:line="268" w:lineRule="auto"/>
        <w:rPr>
          <w:sz w:val="20"/>
          <w:szCs w:val="20"/>
          <w:color w:val="auto"/>
        </w:rPr>
      </w:pPr>
      <w:r>
        <w:rPr>
          <w:rFonts w:ascii="Times New Roman" w:cs="Times New Roman" w:eastAsia="Times New Roman" w:hAnsi="Times New Roman"/>
          <w:sz w:val="17"/>
          <w:szCs w:val="17"/>
          <w:color w:val="auto"/>
        </w:rPr>
        <w:t>consult with one another or as we may be required to apprise the respective agencies of studies we are conducting of AMX0035 for ALS in conjunction with our requests for marketing approval or in response to post-marketing requirements from the respective agency. In September 2022, we received approval for AMX0035 from the FDA for the treatment of ALS in adults, and as a part of our approval, we have post-marketing requirements to conduct carcinogenicity studies in mice and rats, drug-drug interaction studies, and studies in patients with kidney or liver impairment. In July 2022, we received marketing authorization for AMX0035 from Health Canada, with conditions, for the treatment of ALS. One of the conditions of the approval is the provision of data from our PHOENIX trial. There is no guarantee that Health Canada will accept the data from our PHOENIX trial and grant authorization without conditions for AMX0035 for the treatment of ALS. It is typically the case not just in the U.S., but also in Canada and Europe, that marketing approvals are based on two Phase 3 clinical studies. For example, the CHMP of the EMA and the European Commission adopted a negative opinion on our application for conditional marketing authorisation of AMX0035 for the treatment of adults with ALS in the EU relating to the sufficiency of the clinical data in CENTAUR to support approval. Moreover, any finding by another regulatory authority that our global Phase 3 PHOENIX trial is insufficient to support additional marketing authorizations in ALS could lead the FDA or Health Canada to restrict or withdraw prior regulatory approvals for RELYVRIO and ALBRIOZA, respectively. At the second meeting of the Advisory Committee on September 7, 2022, we stated that if our PHOENIX trial is not successful then we will do what is right for patients, which includes voluntarily removing the product from the market. Any such findings by a regulatory authority or decision to voluntarily withdraw AMX0035 from the marketplace would materially harm our ability to generate revenue and remain profitable.</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disruptions caused by any future public health crisis may increase the likelihood that we encounter difficulties or delays in initiating, screening, enrolling, conducting, or completing our ongoing and planned preclinical studies and clinical trials. Clinical site initiation and patient screening and enrollment may be delayed due to prioritization of hospital resources in the event of a future public health crisis. Investigators and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such future highly infectious or contagious diseases, could be limited,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any future outbreak of any highly infectious or contagious diseases. As a result of a future public health crisis, we may face delays in meeting our anticipated timelines for our ongoing and planned clinical trials.</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regulatory authorities may subject our clinical or manufacturing operations to inspections, including routine surveillance, bioresearch monitoring and pre-approval inspections. In addition, even if we were to obtain approval, regulatory authorities may approve AMX0035 or any other current or future product candidates for fewer or more limited indications than we request, may not approve the price we intend to charge for our products, may grant approval contingent on the performance of costly post-marketing preclinical studies and clinical trials, or may approve a product candidate with a label that does not include the labeling claims necessary or desirable for the successful commercialization of that product candidate. Any of the foregoing scenarios could materially harm the commercial prospects for AMX0035 or any other current or future product candidates.</w:t>
      </w:r>
    </w:p>
    <w:p>
      <w:pPr>
        <w:spacing w:after="0" w:line="186"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In Canada, pre-approval GMP inspections are not performed in association with the NDS. Instead, Health Canada relies on a Drug Establishment License, or DEL, to determine the site’s compliance with GMP. DELs can only be held by companies in Canada, and that company becomes the importer of record for the drug. To import, the sites of manufacture, testing and packaging of the Drug Substance and Drug Product are required to be listed on the DEL.</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Listing is dependent on having an inspection report from a recognized sister regulatory agency such as the EMA or the FDA. As a result of the COVID-19 pandemic, inspection reports can now be up to three years old. The site of manufacture of the drug product for AMX0035 is in Canada and is subject to routine inspections from Health Canada. These Canadian inspections are currently being performed remotely as a result of the COVID-19 pandemic.</w:t>
      </w:r>
    </w:p>
    <w:p>
      <w:pPr>
        <w:spacing w:after="0" w:line="18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of AMX0035 or any other current or future product candidates.</w:t>
      </w:r>
    </w:p>
    <w:p>
      <w:pPr>
        <w:spacing w:after="0" w:line="15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To obtain regulatory approval to commercialize AMX0035 and any other current or future product candidates, we must demonstrate through extensive preclinical studies and clinical trials that such product candidates are safe and effective in humans. Preclinical and clinical testing are expensive and can take many years to complete, and their outcome is inherently uncertain. Failure can occur at any time during the clinical trial process and our future clinical trial results may not be successful, which could impact our ability to obtain additional regulatory approvals for AMX0035, to satisfy any applicable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7" w:name="page78"/>
    <w:bookmarkEnd w:id="77"/>
    <w:p>
      <w:pPr>
        <w:ind w:right="100"/>
        <w:spacing w:after="0" w:line="265" w:lineRule="auto"/>
        <w:rPr>
          <w:sz w:val="20"/>
          <w:szCs w:val="20"/>
          <w:color w:val="auto"/>
        </w:rPr>
      </w:pPr>
      <w:r>
        <w:rPr>
          <w:rFonts w:ascii="Times New Roman" w:cs="Times New Roman" w:eastAsia="Times New Roman" w:hAnsi="Times New Roman"/>
          <w:sz w:val="18"/>
          <w:szCs w:val="18"/>
          <w:color w:val="auto"/>
        </w:rPr>
        <w:t>post-market conditions or requirements or to continue marketing AMX0035 in the U.S. and Canada. We could also be required by regulatory authorities to withdraw AMX0035 from the marketplace. This could impact our development plans for AMX0035 for other indications and any other current or future product candidates and could impact our results of operations.</w:t>
      </w:r>
    </w:p>
    <w:p>
      <w:pPr>
        <w:spacing w:after="0" w:line="17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AMX0035 or any other current or future product candidates we develop, including:</w:t>
      </w:r>
    </w:p>
    <w:p>
      <w:pPr>
        <w:spacing w:after="0" w:line="69" w:lineRule="exact"/>
        <w:rPr>
          <w:sz w:val="20"/>
          <w:szCs w:val="20"/>
          <w:color w:val="auto"/>
        </w:rPr>
      </w:pPr>
    </w:p>
    <w:p>
      <w:pPr>
        <w:ind w:left="1020" w:right="2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other reviewing bodies may not authorize us or our investigators to commence a clinical trial, or to conduct or continue a clinical trial at a prospective or specific trial site;</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54" w:lineRule="exact"/>
        <w:rPr>
          <w:rFonts w:ascii="Times New Roman" w:cs="Times New Roman" w:eastAsia="Times New Roman" w:hAnsi="Times New Roman"/>
          <w:sz w:val="18"/>
          <w:szCs w:val="18"/>
          <w:color w:val="auto"/>
        </w:rPr>
      </w:pPr>
    </w:p>
    <w:p>
      <w:pPr>
        <w:ind w:left="1020" w:right="40" w:hanging="504"/>
        <w:spacing w:after="0" w:line="26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AMX0035 in an indication or any future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73" w:lineRule="exact"/>
        <w:rPr>
          <w:rFonts w:ascii="Times New Roman" w:cs="Times New Roman" w:eastAsia="Times New Roman" w:hAnsi="Times New Roman"/>
          <w:sz w:val="18"/>
          <w:szCs w:val="18"/>
          <w:color w:val="auto"/>
        </w:rPr>
      </w:pPr>
    </w:p>
    <w:p>
      <w:pPr>
        <w:ind w:left="1020" w:right="60" w:hanging="504"/>
        <w:spacing w:after="0" w:line="31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including those manufacturing AMX0035 or any other current or future product candidates or conducting clinical trials on our behalf, may fail to comply with regulatory requirements or meet their contractual obligations to us in a timely manner, or at all;</w:t>
      </w:r>
    </w:p>
    <w:p>
      <w:pPr>
        <w:spacing w:after="0" w:line="31" w:lineRule="exact"/>
        <w:rPr>
          <w:rFonts w:ascii="Times New Roman" w:cs="Times New Roman" w:eastAsia="Times New Roman" w:hAnsi="Times New Roman"/>
          <w:sz w:val="17"/>
          <w:szCs w:val="17"/>
          <w:color w:val="auto"/>
        </w:rPr>
      </w:pPr>
    </w:p>
    <w:p>
      <w:pPr>
        <w:ind w:left="1020" w:right="8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 submitted to regulatory authorities or conduct additional studies to reflect changes in regulatory requirements or guidance, which we may be required to resubmit to an IRB and regulatory authorities for re-examination;</w:t>
      </w:r>
    </w:p>
    <w:p>
      <w:pPr>
        <w:spacing w:after="0" w:line="54" w:lineRule="exact"/>
        <w:rPr>
          <w:rFonts w:ascii="Times New Roman" w:cs="Times New Roman" w:eastAsia="Times New Roman" w:hAnsi="Times New Roman"/>
          <w:sz w:val="18"/>
          <w:szCs w:val="18"/>
          <w:color w:val="auto"/>
        </w:rPr>
      </w:pPr>
    </w:p>
    <w:p>
      <w:pPr>
        <w:ind w:left="1020" w:right="80" w:hanging="504"/>
        <w:spacing w:after="0" w:line="31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events may occur during the course of a clinical trial and these events may result in the temporary suspension or termination of a clinical trial, or require urgent safety measures or restrictions to protect human subjects during the conduct of a clinical trial;</w:t>
      </w:r>
    </w:p>
    <w:p>
      <w:pPr>
        <w:spacing w:after="0" w:line="31" w:lineRule="exact"/>
        <w:rPr>
          <w:rFonts w:ascii="Times New Roman" w:cs="Times New Roman" w:eastAsia="Times New Roman" w:hAnsi="Times New Roman"/>
          <w:sz w:val="17"/>
          <w:szCs w:val="17"/>
          <w:color w:val="auto"/>
        </w:rPr>
      </w:pPr>
    </w:p>
    <w:p>
      <w:pPr>
        <w:ind w:left="1020" w:hanging="504"/>
        <w:spacing w:after="0" w:line="280"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other reviewing bodies may fail to approve or subsequently find fault with the manufacturing processes or facilities of third-party manufacturers with which we enter into agreement for clinical and commercial supplies, or the supply or quality of AMX0035 or any other current or future product candidate or other materials necessary to conduct clinical trials of AMX0035 or any other current or future product candidates may be insufficient, inadequate or not available at an acceptable cost, or we may experience interruptions in supply; and</w:t>
      </w:r>
    </w:p>
    <w:p>
      <w:pPr>
        <w:spacing w:after="0" w:line="58" w:lineRule="exact"/>
        <w:rPr>
          <w:rFonts w:ascii="Times New Roman" w:cs="Times New Roman" w:eastAsia="Times New Roman" w:hAnsi="Times New Roman"/>
          <w:sz w:val="17"/>
          <w:szCs w:val="17"/>
          <w:color w:val="auto"/>
        </w:rPr>
      </w:pPr>
    </w:p>
    <w:p>
      <w:pPr>
        <w:ind w:left="1020" w:right="8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Health Canada, the FDA, the EMA or any other applicable foreign regulatory agencies to significantly change in a manner rendering our clinical data insufficient for approval.</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Negative or inconclusive impressions of the results from our earlier clinical trials of AMX0035 for the treatment of ALS or AD, or any other clinical trial or preclinical studies in animals that we have conducted, could mandate repeated or additional preclinical studies or clinical trials and could delay marketing approvals or result in changes to or delays in preclinical studies or clinical trials of AMX0035 in other indications. We do not know whether any clinical trials that we may conduct will demonstrate adequate efficacy and safety to result in regulatory approval to market AMX0035 for our initial or potential additional indications, or any future product candidate. If later stage clinical trials, including our ongoing global Phase 3 PHOENIX trial in ALS, do not produce favorable results with very strong statistical significance, our ability to obtain or maintain any prior-issued regulatory approval for AMX0035 for ALS (including our FDA approval and our marketing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authorization with conditions from Health Canada) or potential additional indications, or any future product candidate, may be adversely impacted.</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of AMX0035 for ALS, PSP, WS, AD or potential additional indications and to demonstrate the efficacy and safety of AMX0035, including each component thereof, necessary to obtain and maintain regulatory approval to market AMX0035, including if our global Phase 3 PHOENIX trial is not successful, would significantly harm our business and ability to continue developing and marketing AMX0035 for any indications. Our product candidate development costs will also increase if we experience delays in testing or obtaining and maintaining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or the need for additional data from our clinical trials also could shorten any periods during which we may have the exclusive right to commercialize AMX0035 or any other current or future product candidates or allow our competitors to bring products to market before we do and impair our ability to successfully commercialize such product candidates, which may harm our business and results of operations. In addition, many of the factors that cause, or lead to, delays of clinical trials may ultimately lead to the denial of regulatory approval of AMX0035 or any future product candidate.</w:t>
      </w:r>
    </w:p>
    <w:p>
      <w:pPr>
        <w:spacing w:after="0" w:line="1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or maintaining approvals for the commercialization of AMX0035 for our initial or potential additional indications as well as for any future product candidate we develop.</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its development and commercialization, including its design, testing, manufacture, safety, efficacy, recordkeeping, labeling, storage, approval, advertising, promotion, sale, and distribution, are subject to comprehensive regulation by Health Canada, the FDA, the EMA and other regulatory authorities in the U.S. and in other countries. Failure to obtain marketing approval for a product candidate will prevent us from commercializing that product candidate in a given jurisdiction. Although we have invested substantial time and resources to date in pursuit of regulatory approval and toward potential commercialization, we have only received regulatory approval for AMX0035 (RELYVRIO) in the U.S. and marketing authorization with conditions for AMX0035 (ALBRIOZA) in Canada and have not received any other regulatory approvals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process of obtaining marketing approvals, in the U.S., Canada, EU and other foreign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Health Canada, the EMA and comparable authorities in other countries have substantial discretion in the approval process and may refuse to accept any application or may decide during the review process that our data are insufficient for approval and require additional preclinical, clinical or other studies. For example, during the review of our NDA for AMX0035 for the treatment of ALS, the FDA requested clarifying information regarding our preclinical and clinical data and during the Advisory Committee meetings noted certain concerns with interpretation of our clinical data. In addition, varying interpretations of the data obtained from preclinical and clinical testing could delay, limit, or prevent marketing approval of, or limit the approved labeling for, a product candidate. For example, while we have conducted preclinical studies in various models of neurodegenerative diseases, it is the view of the FDA that the mechanism by which RELYVRIO exerts its therapeutic effects in patients with ALS is unknown. In addition, in the approved labeling for RELYVRIO, the FDA noted that the post hoc, long-term exploratory survival analysis should be interpreted with caution given the limitations of data collected outside of a controlled study. Additionally, the FDA has discretion to refer an application for a novel drug or a drug that presents difficult questions of safety or efficacy to an advisory committee. For example, our approval of RELYVRIO by the FDA was granted following the second virtual meeting of the Advisory Committee held on September 7, 2022.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79" w:name="page80"/>
    <w:bookmarkEnd w:id="79"/>
    <w:p>
      <w:pPr>
        <w:ind w:right="40"/>
        <w:spacing w:after="0" w:line="253" w:lineRule="auto"/>
        <w:rPr>
          <w:sz w:val="20"/>
          <w:szCs w:val="20"/>
          <w:color w:val="auto"/>
        </w:rPr>
      </w:pPr>
      <w:r>
        <w:rPr>
          <w:rFonts w:ascii="Times New Roman" w:cs="Times New Roman" w:eastAsia="Times New Roman" w:hAnsi="Times New Roman"/>
          <w:sz w:val="18"/>
          <w:szCs w:val="18"/>
          <w:color w:val="auto"/>
        </w:rPr>
        <w:t>Advisory Committee initially met on March 30, 2022 and voted 4 (yes) and 6 (no) on the question of whether the data from our randomized, controlled Phase 2 CENTAUR trial and OLE established a conclusion that AMX0035 is effective in the treatment of patients with ALS. At the second meeting of the Advisory Committee, the Advisory Committee voted 7 (yes) to 2 (no) in response to the question of whether available evidence of effectiveness is sufficient to support approval of AMX0035 for the treatment of ALS, taking into account the unmet need in ALS, the status of the ongoing global PHOENIX trial and the seriousness of ALS. At this meeting and the previous Advisory Committee meeting, the FDA presented concerns regarding choices of statistical models for the prespecified primarily analysis and the interpretability of the survival results. Additionally, one of the conditions of our marketing authorization for ALBRIOZA in Canada is the provision of data from our PHOENIX trial. There is no guarantee that Health Canada will accept the data from our PHOENIX trial as satisfying the conditions and grant a marketing authorization without conditions for ALBRIOZA for the treatment of ALS or that the PHOENIX trial will be successful. Health Canada could require us to make further undertakings with respect to confirmatory clinical trials if it is not satisfied with the data from the PHOENIX trial, in order for AMX0035 to continue to be marketed in Canada. As such, we may be unable to maintain the marketing approvals we are pursuing and any marketing approvals we ultimately obtain, including any conditional approvals, may be denied, limited, withdrawn, or subject to restrictions or post-approval commitments that could render the approved product not commercially viable.</w:t>
      </w:r>
    </w:p>
    <w:p>
      <w:pPr>
        <w:spacing w:after="0" w:line="18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maintain or obtain approval of AMX0035 or of any product candidates we may develop, the commercial prospects for those product candidates, including for AMX0035, may be harmed, and our ability to generate revenues will be materially impaired.</w:t>
      </w:r>
    </w:p>
    <w:p>
      <w:pPr>
        <w:spacing w:after="0" w:line="17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early-stage clinical trials and preclinical studies may not be predictive of future results. Initial or preliminary data in our clinical trials may not be indicative of results obtained when these trials are completed or in later stage trials.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data in clinical trials may not be indicative of results obtained when such trials are completed. There can be no assurance that any of our clinical trials will ultimately be successful or support further clinical development of AMX0035 or any other current or future product candidates. In addition, the clinical results seen in the CENTAUR trial may not be repeated in our global Phase 3 PHOENIX clinical trial, which may materially impact our ability to obtain authorization without conditions for ALBRIOZA in Canada, to maintain our approval for RELYVRIO in the U.S., to seek approval in the EU and continue development of AMX0035 for additional indications.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we have in the past utilized and may in the future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AMX0035 or any future product candidates when studied in a controlled environment with a placebo or active control.</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0" w:name="page81"/>
    <w:bookmarkEnd w:id="80"/>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AMX0035 or any other current or future product candidates if we are unable to locate and enroll a sufficient number of eligible patients to participate in these trials to such trial’s conclusion as required by Health Canada, the FDA, the EMA or other comparable foreign regulatory authorities. Additionally, certain clinical trials for AMX0035 and any other current 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 For example the number of patients suffering from ALS, is small and, in some cases, has not been established with precision. If the actual number of patients with these diseases is smaller than we anticipate, we may encounter difficulties in enrolling patients in our clinical trials, thereby delaying or preventing development and approval of AMX0035 or any other current or future product candidates. Even once enrolled, we may be unable to retain a sufficient number of patients to complete any of our trials. For example, ALS patients have significant mobility issues, morbidities and other complications that have historically made retention in ALS trials, more challenging. These challenges are also present with many other neurodegenerative indications, including indications for which we may run clinical trials in the future. In the past, we have had discontinuations in our clinical trials, including in our CENTAUR trial and CENTAUR OLE trial. Discontinuations may occur in current or future trials and could result in delays of completion of our clinical trials and affect our ability to enroll additional patients in our clinical trials and impact the integrity of data from our clinical trials.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of the patient population, the severity of the disease under investigation, the nature of the trial protocol, the existing body of safety and efficacy data for the product candidate, the number and nature of competing treatments and ongoing clinical trials of or expanded access to competing therapies for the same indication, the proximity of patients to clinical sites, the eligibility criteria for the trial, the ability to adequately monitor patients during a trial, clinicians’ and patients’ perceptions as to the potential advantages of the product candidate being studied, and the risk that patients will drop out of a trial before completing all site visits. There are limited patient pools from which to draw in order to complete our clinical trials in a timely and cost-effective manner, including due to the fact that the neurological diseases we target are rare.</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Furthermore, our efforts to build relationships with patient communities may not succeed, which could result in delays in patient enrollment in our clinical trials.</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negative results we may report in clinical trials of AMX0035 or any future product candidate may also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AMX0035 in ALS, PSP, WS, AD and additional indications and any other current or future product candidates, or could render further development impossible. Further, if patients drop out of our clinical trials, miss scheduled doses or follow-up visits, or otherwise fail to follow clinical trial protocols, whether as a result of public health epidemics and related illness, the integrity of data from our clinical trials may be compromised or not accepted by Health Canada, the FDA, the EMA or other regulatory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activities, such as manufacturing methods and formulation, are altered along the way in an effort to optimize processes and results. Any of these changes could cause AMX0035 or any other current or future product candidates to perform differently and affect the results of ongoing clinical trials or other future clinical trials conducted with the materials manufactured using altered processes. For example, in seeking approval of AMX0035 in Europe, we submitted data supporting a different formulation of AMX0035 from the formulation evaluated in the CENTAUR trial. Changes to commercial formulations from those studied clinically could lead regulatory authorities to delay the approval of our marketing applications until we can demonstrate through additional clinical data that there is comparability in the bioavailability of the two different formulations or may require us to revert to the prior formulation evaluated clinically. Should we have to conduct comparability testing to bridge earlier clinical data obtained from product candidates produced under earlier manufacturing methods or formulations with the planned commercial</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81" w:name="page82"/>
    <w:bookmarkEnd w:id="81"/>
    <w:p>
      <w:pPr>
        <w:ind w:right="140"/>
        <w:spacing w:after="0" w:line="265" w:lineRule="auto"/>
        <w:rPr>
          <w:sz w:val="20"/>
          <w:szCs w:val="20"/>
          <w:color w:val="auto"/>
        </w:rPr>
      </w:pPr>
      <w:r>
        <w:rPr>
          <w:rFonts w:ascii="Times New Roman" w:cs="Times New Roman" w:eastAsia="Times New Roman" w:hAnsi="Times New Roman"/>
          <w:sz w:val="18"/>
          <w:szCs w:val="18"/>
          <w:color w:val="auto"/>
        </w:rPr>
        <w:t>formulation, regulatory authorities may disagree on the interpretation of results from this testing. This could delay completion of clinical trials, require the repetition of one or more clinical trials, increase clinical trial costs, delay approval of AMX0035 or any other current or future product candidates and jeopardize our ability to commence sales and generate revenue.</w:t>
      </w:r>
    </w:p>
    <w:p>
      <w:pPr>
        <w:spacing w:after="0" w:line="173"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AMX0035 or any future product candidate may cause undesirable side effects or have other properties that could delay or prevent its regulatory approval, limit the commercial profile of an approved label, or result in significant negative consequences following regulatory approval, if obtained.</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AMX0035, or any future product candidate, could cause us or regulatory authorities to interrupt, delay or halt clinical trials and could result in a more restrictive label or the delay, denial or withdrawal of regulatory approval by the FDA, Health Canada, the EMA or comparable foreign regulatory authorities. Results of our preclinical studies or clinical trials could reveal a high and unacceptable severity and prevalence of side effects or unexpected characteristics. In clinical trials of AMX0035 to date, AMX0035 has been generally well-tolerated, with most common treatment-emergent adverse events including diarrhea, abdominal pain, nausea, upper respiratory infection, constipation, headache, fatigue, proteinuria, and decreased appetite. In addition, it has been reported that patients experience a bad taste when taking AMX0035. In animal studies, administration of AMX0035 to rats throughout pregnancy and lactation resulted in increased offspring mortality at all doses tested, which were less than or similar to the clinical doses tested in our clinical trials. However, there can be no guarantee that we would observe a similar tolerability profile of AMX0035 in our global Phase 3 PHOENIX clinical trial or in other future clinical trials for ALS or other indications. Many compounds that initially showed promise in clinical or earlier stage testing are later found to cause undesirable or unexpected side effects that prevented further development of the compound.</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unacceptable or severe side effects arise in the development of AMX0035 or any other current or future product candidates, we, the FDA, Health Canada, the EMA or comparable foreign regulatory authorities, the IRBs, or independent ethics committees at the institutions in which our trials are conducted, or the independent safety monitoring committee could suspend or terminate our clinical trials or regulatory authorities could order us to cease clinical trials or deny approval of AMX0035 or any other current or future product candidates for any or all targeted indications. Treatment-emergent side effects that are deemed to be drug-related could also affect subject recruitment or the ability of enrolled subjects to complete the trial or result in potential product liability claims. Undesirable side effects in one of our clinical trials for AMX0035 in one indication could adversely affect enrollment in clinical trials, regulatory approval and commercialization of AMX0035 in other indications. Additionally, there may be negative findings regarding components of AMX0035 or future product candidates by other parties. For example, Humanitas Mirasole SpA, or Humanitas, is conducting a Phase 3 clinical trial in the EU to assess the safety and efficacy of TURSO in patients with ALS which may lead to additional findings as to the safety profile of TURSO. Any negative findings by third parties may impact the future approvability or labeling of AMX0035 or other product candidates we may develop. In addition, side effects may not be appropriately recognized or managed by the treating medical staff. We have no relationship with Humanitas. If their Phase 3 clinical trial is successful and TURSO is approved by the FDA or any other regulatory agency, TURSO may become a commercialized product competitive with AMX0035, unless our intellectual property protections and any regulatory exclusivities we possess or may possess in the future prevent such commercialization. Inadequate training in recognizing or managing the potential side effects of AMX0035 or any future product candidates could result in patient injury or death. Any of these occurrences may harm our business, financial condition and prospects significantly.</w:t>
      </w:r>
    </w:p>
    <w:p>
      <w:pPr>
        <w:spacing w:after="0" w:line="19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Bitter taste was frequently observed in our clinical trials of AMX0035. While bitter taste, by itself, does not present a safety risk for patients, it may lead to higher levels of patient non-compliance, which could have the effect of reducing the observed efficacy of AMX0035 in our clinical trials, including our ongoing global Phase 3 PHOENIX trial, or limit its commercial adoption.</w:t>
      </w:r>
    </w:p>
    <w:p>
      <w:pPr>
        <w:spacing w:after="0" w:line="17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Moreover, clinical trials of AMX0035 are conducted in carefully defined sets of patients who have agreed to enter into clinical trials. Consequently, it is possible that our clinical trials, or those of any future collaborator, may indicate an apparent positive effect of AMX0035 or any other current or future product candidate that is greater than the actual positive effect, if any, or alternatively fail to identify undesirable side effects.</w:t>
      </w:r>
    </w:p>
    <w:p>
      <w:pPr>
        <w:spacing w:after="0" w:line="177"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Finally, AMX0035 is a combination of TURSO and PB. PB has been approved by the FDA and other regulatory authorities for the treatment of patients with certain urea cycle disorders and TURSO has been approved in Italy for diseases of cirrhotic liver disorders such as primary biliary cirrhosis. It is possible that one or more of the active moieties in AMX0035 has also been approved by FDA or other regulatory authorities. Even if AMX0035 receives marketing approval and is commercialized in a jurisdiction, we would continue to be subject to the risks that the applicable regulatory authorities could revoke approval of PB or TURSO or any active moiety in AMX0035, if applicable, or that efficacy, manufacturing or supply issues could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2" w:name="page83"/>
    <w:bookmarkEnd w:id="82"/>
    <w:p>
      <w:pPr>
        <w:ind w:right="120"/>
        <w:spacing w:after="0" w:line="281" w:lineRule="auto"/>
        <w:rPr>
          <w:sz w:val="20"/>
          <w:szCs w:val="20"/>
          <w:color w:val="auto"/>
        </w:rPr>
      </w:pPr>
      <w:r>
        <w:rPr>
          <w:rFonts w:ascii="Times New Roman" w:cs="Times New Roman" w:eastAsia="Times New Roman" w:hAnsi="Times New Roman"/>
          <w:sz w:val="18"/>
          <w:szCs w:val="18"/>
          <w:color w:val="auto"/>
        </w:rPr>
        <w:t>arise with PB or TURSO or any active moiety in AMX0035, if applicable. This could result in our own products being removed from the market or being less commercially successful.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demand for expanded access to AMX0035 could negatively affect our reputation and harm our business.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developing AMX0035 for the treatment of ALS, PSP, WS, AD and other potential future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AMX0035 or any of our future product candidates under an expanded access policy, our reputation may be negatively affected and our business may be harmed.</w:t>
      </w:r>
    </w:p>
    <w:p>
      <w:pPr>
        <w:spacing w:after="0" w:line="18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the past, media attention to individual patients’ expanded access requests has resulted in the introduction and enactment of legislation at the local and national level, including the Accelerating Access to Critical Therapies for ALS Act and prior “Right to Try” laws, such as the federal Right to Try Act of 2017, which are intended to allow patients access to unapproved therapies earlier than traditional EAPs and the former of which is intended to support research and development related to ALS, specifically. A possible consequence of both activism and legislation in this area may be the need for us to initiate an EAP beyond that which we have submitted to the FDA or to make AMX0035 or any future product candidates more widely available sooner than anticipated.</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EAPs or right to try access have life-threatening illnesses and have exhausted all other available therapies. The risk for SAEs in this patient population is high, which could have a negative impact on the safety profile of AMX0035 or future product candidates, which could cause significant delays or an inability to successfully commercialize AMX0035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AMX0035 or future product candidates, which could prompt adverse publicity or other disruptions related to current or potential participants in such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activities and the diseases AMX0035 is being developed to treat, and we intend to continue to utilize appropriate social media in connection with our commercialization efforts for RELYVRIO in the U.S. and ALBRIOZA in Canada, and in any other jurisdictions where we obtain regulatory approvals. Social media practices in the biotechnology and pharmaceutical industries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on treatment with AMX0035 or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or confidential information or negative or inaccurate posts or comments about us on any social networking website. In addition, we may encounter attacks on social media regarding our company, management, AMX0035 or future product candidates. If any of these events were to occur or we otherwise fail to comply with applicable regulations, we could incur liability, face regulatory actions or incur other harm to our business.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AMX0035 for additional indications or fail to discover, develop and commercialize other current or future product candidates, we may be unable to grow our business and our ability to achieve our strategic objectives would be impaired.</w:t>
      </w:r>
    </w:p>
    <w:p>
      <w:pPr>
        <w:spacing w:after="0" w:line="1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Although the commercialization of AMX0035 for the treatment of ALS is our current primary focus, as part of our longer-term growth strategy, we are currently, and plan to continue to, evaluate AMX0035 in other indications and develop other product candidates. We intend to evaluate internal opportunities from AMX0035 or other potential product candidates, and also may choose to in-license or acquire other product candidates as well as commercial products to treat patients suffering from neurodegenerative diseases and CNS or other disorders with significant unmet medical needs and limited treatment</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83" w:name="page84"/>
    <w:bookmarkEnd w:id="83"/>
    <w:p>
      <w:pPr>
        <w:spacing w:after="0" w:line="256" w:lineRule="auto"/>
        <w:rPr>
          <w:sz w:val="20"/>
          <w:szCs w:val="20"/>
          <w:color w:val="auto"/>
        </w:rPr>
      </w:pPr>
      <w:r>
        <w:rPr>
          <w:rFonts w:ascii="Times New Roman" w:cs="Times New Roman" w:eastAsia="Times New Roman" w:hAnsi="Times New Roman"/>
          <w:sz w:val="18"/>
          <w:szCs w:val="18"/>
          <w:color w:val="auto"/>
        </w:rPr>
        <w:t>options. These other potential product candidates will require additional, time-consuming development efforts prior to commercial sale, including preclinical studies, clinical trials and approval by the FDA, Health Canada, the EMA and/or other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8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Research activities to identify product candidates require substantial technical, financial and human resources, whether or not any product candidates are ultimately identified. Our research activities may initially show promise in identifying potential product candidates, yet fail to yield product candidates for clinical development for many reasons, including the following:</w:t>
      </w:r>
    </w:p>
    <w:p>
      <w:pPr>
        <w:spacing w:after="0" w:line="69" w:lineRule="exact"/>
        <w:rPr>
          <w:sz w:val="20"/>
          <w:szCs w:val="20"/>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our potential for growth and achieving our strategic objectives may be impaired.</w:t>
      </w:r>
    </w:p>
    <w:p>
      <w:pPr>
        <w:spacing w:after="0" w:line="15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product candidates or indications and modifications for which to investigate AMX0035 in the future. We may expend our limited resources to pursue particular product candidates or indication or formulation for AMX0035 and fail to capitalize on such product candidates or indications or formulations of AMX0035 that may be more profitable or for which there is a greater likelihood of success.</w:t>
      </w:r>
    </w:p>
    <w:p>
      <w:pPr>
        <w:spacing w:after="0" w:line="17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focused on specific indications and modifications for AMX0035. As a result, we may fail to generate additional clinical development opportunities for AMX0035 for a number of reasons, including, that AMX0035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plan to conduct several clinical trials for AMX0035 in parallel over the next several years, including clinical trials in patients with WS, PSP and other indications, which may make our decision as to which indication to prioritize more difficult. As a result, we may forgo or delay pursuit of opportunities with other indications that we believe could have had greater commercial potential or likelihood of success. In addition, we are continuing to evaluate plans to explore the use of AMX0035 in patients with AD, and other product candidates in ALS and additional neurodegenerative diseases. However, we may focus on or pursue one or more of our target indications over other potential indications and product candidates and such development efforts may not be successful, which would cause us to delay the clinical development and approval of AMX0035, and other product candidates. Furthermore, research activities to identify additional indications for AMX0035 require substantial technical, financial, and human resources. We may not successfully develop these additional modifications for chemistry-related, stability-related, or other reasons. We have recently announced the development of AMX0114, an antisense oligonucleotide, targeting Calpain-2 for ALS and other neurodegenerative diseases. We are currently advancing AMX0114 through IND-enabling studies and expect to enter the clinic in 2024. Our resource allocation decisions may cause us to fail to capitalize on viable commercial products or profitable market opportunities. Our spending on current and future research and development activities for specific indications or formulations of AMX0035 or for AMX0114 or other product candidates may not yield any commercially viable products.</w:t>
      </w:r>
    </w:p>
    <w:p>
      <w:pPr>
        <w:spacing w:after="0" w:line="18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Additionally, we may pursue in-licenses or acquisitions of development-stage assets or programs, which entails additional risk to us. Identifying, selecting and acquiring promising product candidates requires substantial technical, financial, and</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84" w:name="page85"/>
    <w:bookmarkEnd w:id="84"/>
    <w:p>
      <w:pPr>
        <w:ind w:right="320"/>
        <w:spacing w:after="0" w:line="281" w:lineRule="auto"/>
        <w:rPr>
          <w:sz w:val="20"/>
          <w:szCs w:val="20"/>
          <w:color w:val="auto"/>
        </w:rPr>
      </w:pPr>
      <w:r>
        <w:rPr>
          <w:rFonts w:ascii="Times New Roman" w:cs="Times New Roman" w:eastAsia="Times New Roman" w:hAnsi="Times New Roman"/>
          <w:sz w:val="18"/>
          <w:szCs w:val="18"/>
          <w:color w:val="auto"/>
        </w:rPr>
        <w:t>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6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5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AMX0035 for our current or future indications. If our competitors develop technologies or product candidates more rapidly than we do, or their technologies or product candidates are more effective or safer than ours, our ability to develop and successfully commercialize AMX0035 may be adversely affected.</w:t>
      </w:r>
    </w:p>
    <w:p>
      <w:pPr>
        <w:spacing w:after="0" w:line="17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clinical and commercial landscape for the treatment of ALS and other neurodegenerative diseases, including AD is highly competitive and subject to rapid and significant technological change. We face competition with respect to our current indications for AMX0035 and will face competition with respect to any future indications of AMX0035 or other drug candidates that we may seek to develop or commercialize in the future, from major pharmaceutical companies, specialty pharmaceutical companies and biotechnology companies worldwide. For example, Humanitas Mirasole SpA is currently conducting a Phase 3 clinical trial in the EU to assess the safety and efficacy of TURSO in patients with ALS, which, if approved, may be commercialized as a competitor to AMX0035. If this study meets its clinical endpoints, this monotherapy treatment could be approved by the FDA, the EMA and other regulatory authorities, and TURSO may become a commercialized product competitive with AMX0035, unless our intellectual property protections and any regulatory exclusivities we possess or may possess in the future prevent such commercialization. There are also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Several large pharmaceutical companies market FDA-approved drugs for the treatment of ALS. These drugs include: Riluzole, marketed by Sanofi-Aventis U.S. LLC, and Radicava, marketed by Mitsubishi Tanabe Pharma America, Inc. Additionally, Mitsubishi Tanabe Pharma America, Inc., or MTPA, is developing an oral alternative to Radicava. In the first quarter of 2022, the FDA accepted MTPA’s application for priority review of its oral alternative to Radicava and in May 2022, the FDA approved its oral alternative to Radicava. Our potential competitors include pharmaceutical and biotechnology companies, such as Biogen, Inc., UCB S.A. and PTC Therapeutics, Inc., specialty pharmaceutical and generic drug companies, academic institutions, government agencies and research institutions. In July 2022, the FDA accepted the NDA and granted Priority Review for tofersen, an investigational antisense drug being evaluated for people with SOD1 ALS. In April 2023 the FDA granted accelerated approval for QALSODY.</w:t>
      </w:r>
    </w:p>
    <w:p>
      <w:pPr>
        <w:spacing w:after="0" w:line="18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Many of our competitors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AMX0035 or any future product candidates obsolete or non-competitive before we can recover development and commercialization expenses. If AMX0035 is approved for the indications we are currently pursuing, it could compete with a range of therapeutic treatments that are in development. In addition, our competitors may succeed in developing, acquiring or licensing technologies and drug products that are more effective or less costly than AMX0035 or any future product candidates that we may develop, which could render such product candidates obsolete and noncompetitive.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approval for AMX0035 or any other future product candidate,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commercialize. Competitive products may make any products we commercialize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85" w:name="page86"/>
    <w:bookmarkEnd w:id="85"/>
    <w:p>
      <w:pPr>
        <w:spacing w:after="0" w:line="254"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regulatory approval and commercialize products more rapidly than we do, which may impact future approvals or sales of any of our product candidates that receive regulatory approval. We expect to face competition with respect to our commercialization of RELYVRIO in the U.S. and ALBRIOZA in Canada and any future product candidates, if approved. Following approval by Health Canada, the FDA or the EMA for the commercial sale of AMX0035 or any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8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activities.</w:t>
      </w:r>
    </w:p>
    <w:p>
      <w:pPr>
        <w:spacing w:after="0" w:line="17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AMX0035 or any future product candidates in one jurisdiction does not mean that we will be successful in obtaining regulatory approval of those product candidates in other jurisdictions.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AMX0035 and any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though the FDA has approved AMX0035 (RELYVRIO) and Health Canada has granted marketing authorization with conditions of AMX0035 (ALBRIOZA), comparable regulatory authorities in the EU and other foreign jurisdictions must also approve the manufacturing, marketing and promotion of AMX0035 in those countries. Approval procedures vary among jurisdictions and can involve requirements and administrative review periods different from, and greater than, those in the U.S., Canada or the EU, including additional preclinical studies or clinical trials, as clinical trials conducted in one jurisdiction may not be accepted by regulatory authorities in other jurisdictions. In many jurisdictions outside the U.S., including Canada, and certain jurisdictions in the EU, a product candidate must be approved for reimbursement before it can be approved for sale in that jurisdiction. In some cases, the price that we intend to charge for our products is also subject to approval.</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Regulatory authorities in jurisdictions outside of the U.S. have requirements for approval of product candidates with which we must comply prior to marketing in those jurisdictions and such regulatory requirements can vary widely from country to country. Obtaining other regulatory approvals and compliance with other regulatory requirements could result in significant delays, difficulties and costs for us and could require additional preclinical studies or clinical trials, which could be costly and time-consuming and could delay or prevent the introduction of our products in certain countries. The foreign regulatory approval process involves all of the risks associated with FDA approval. We do not have any product candidates approved for sale in any jurisdiction except the U.S. and Canada, and we do not have experience in obtaining regulatory approval in international markets outside of Canada. If we fail to comply with the regulatory requirements in international markets and/or obtain and maintain applicable marketing approvals, our target market will be reduced and our ability to realize the full market potential of AMX0035 or any future product candidates will be harmed.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orphan drug designation for AMX0035 for the treatment of ALS in the U.S. and the EU and for the treatment of WS in the U.S., we may not be able to obtain or maintain the benefits associated with orphan drug status, including market exclusivity.</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U.S., or a patient population of greater than 200,000 people in the U.S., but for which there is no reasonable expectation that the cost of developing the drug will be recovered from sales in the U.S. In the EU, an orphan designation may be granted in respect of products that are intended for the diagnosis, prevention or treatment of a life-threatening or chronically debilitating condition affecting no more than five in 10,000 people in the EU when the application is made. Additionally, designation is granted for products intended for the diagnosis, prevention or treatment of a life-threatening or chronically debilitating condition when, without incentives, it is unlikely that sales of the product in the EU would be sufficient to justify the necessary investment in developing the product. In either case, the applicant for orphan designation must also demonstrate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6" w:name="page87"/>
    <w:bookmarkEnd w:id="86"/>
    <w:p>
      <w:pPr>
        <w:ind w:right="100"/>
        <w:spacing w:after="0" w:line="281" w:lineRule="auto"/>
        <w:rPr>
          <w:sz w:val="20"/>
          <w:szCs w:val="20"/>
          <w:color w:val="auto"/>
        </w:rPr>
      </w:pPr>
      <w:r>
        <w:rPr>
          <w:rFonts w:ascii="Times New Roman" w:cs="Times New Roman" w:eastAsia="Times New Roman" w:hAnsi="Times New Roman"/>
          <w:sz w:val="18"/>
          <w:szCs w:val="18"/>
          <w:color w:val="auto"/>
        </w:rPr>
        <w:t>that no satisfactory method of diagnosis, prevention, or treatment for the condition has been authorized (or, if such a method exists, the new product would be a significant benefit to those affected compared to the product available).</w:t>
      </w:r>
    </w:p>
    <w:p>
      <w:pPr>
        <w:spacing w:after="0" w:line="16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September 2017, the FDA granted orphan drug status to AMX0035 for the treatment of patients with ALS in the U.S., and with the approval of AMX0035 (RELYVRIO) by the FDA in September 2022 for the treatment of ALS in adults, the product was granted orphan drug exclusivity and the FDA cannot approve a generic or a brand product that contains the same active moiety for the same orphan indication as AMX0035 for a period of seven years, subject to certain exceptions. In addition, in June 2020, the EMA granted orphan medicine status to AMX0035 for the treatment of patients with ALS in the EU. We also received orphan drug status for AMX0035 for the treatment of patients with WS in the U.S. in November 2020. Generally, if a drug with an orphan drug designation subsequently receives the first marketing approval for the indication for which it has such designation, the drug may be entitled to a period of marketing exclusivity, which precludes the FDA or the EMA from approving another marketing authorization application for the same drug for that time period. Another drug may receive marketing approval prior to AMX0035. The applicable period is seven years in the U.S. and ten years in the EU, which may be extended by six months and two years, respectively, in the case of product candidates that have complied with the respective regulatory agency’s agreed upon pediatric investigation plan. The exclusivity period in the EU may be reduced to six years if, at the end of the fifth year, it is demonstrated that a product no longer meets the criteria for orphan designation or if the product is sufficiently profitable so that market exclusivity is no longer justified. In the EU, during the ten-year period of orphan marketing exclusivity, neither the competent authorities of the EU Member States, the EMA, or the European Commission are permitted to accept applications or grant marketing authorization for similar medicinal products to the authorized orphan product. A “similar medicinal product” is defined as a medicinal product containing a similar active substance or substances as contained in an authorized orphan medicinal product, and which is intended for the same therapeutic indication. Legislation has been proposed by the European Commission that, if implemented, has the potential in some cases to shorten the ten-year period of orphan marketing exclusivity. Orphan drug exclusivity may be lost if the FDA or the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another drug for the same condition before the expiration of the seven-year (or ten-year in the EU) exclusivity period if the FDA or the EMA concludes that the later drug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orphan exclusivity. Even though the FDA has granted orphan drug designation to AMX0035 for the treatment of WS, if we receive approval for AMX0035 for a modified or different indication, our current orphan designation may not provide us with exclusivity.</w:t>
      </w:r>
    </w:p>
    <w:p>
      <w:pPr>
        <w:spacing w:after="0" w:line="198"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AMX0035, that exclusivity may not effectively protect us from competition because different drugs can be approved for the same condition before the expiration of the orphan drug exclusivity period. For example, even though AMX0035 is entitled to orphan drug exclusivity, that exclusivity may not prevent the approval of TURSO by the FDA, the EMA or other regulatory authorities as a monotherapy treatment for ALS if those regulatory agencies determine that TURSO is a different drug product from AMX0035. In addition, the regulatory authorities may find that this monotherapy treatment is clinically superior to our fixed dose product and approve it even if we are granted orphan drug exclusivity. U.S. lawmakers have also recently raised the possibility that regulatory or legislative changes might need to be made to the Orphan Drug Act to foster competition. This includes the introduction of legislation that, if adopted into law, would require us to demonstrate to the FDA that AMX0035 would be economically unviable when facing competition to maintain our exclusivity.</w:t>
      </w:r>
    </w:p>
    <w:p>
      <w:pPr>
        <w:spacing w:after="0" w:line="18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AMX0035 for the treatment of additional indications. The incidence and prevalence of the target patient populations for these indications will be based on our estimates and third-party data. If the market opportunity for these target populations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U.S., or a patient population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7" w:name="page88"/>
    <w:bookmarkEnd w:id="87"/>
    <w:p>
      <w:pPr>
        <w:spacing w:after="0" w:line="265" w:lineRule="auto"/>
        <w:rPr>
          <w:sz w:val="20"/>
          <w:szCs w:val="20"/>
          <w:color w:val="auto"/>
        </w:rPr>
      </w:pPr>
      <w:r>
        <w:rPr>
          <w:rFonts w:ascii="Times New Roman" w:cs="Times New Roman" w:eastAsia="Times New Roman" w:hAnsi="Times New Roman"/>
          <w:sz w:val="18"/>
          <w:szCs w:val="18"/>
          <w:color w:val="auto"/>
        </w:rPr>
        <w:t>of greater than 200,000 people in the U.S., but for which there is no reasonable expectation that the cost of developing the drug will be recovered from sales in the U.S. If our incidence or prevalence estimates for future indications for which we may seek orphan drug designation are incorrect, we may be unable to receive orphan drug designation.</w:t>
      </w:r>
    </w:p>
    <w:p>
      <w:pPr>
        <w:spacing w:after="0" w:line="1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Even if the FDA grants orphan drug designation for AMX0035 for other indications, exclusive marketing rights in the U.S.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1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Priority Review Designation for product candidates that we may develop, but we might not receive such designations, and Priority Review Designations may not lead to a faster development or regulatory review or approval process.</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For example, we received priority review for AMX0035 for the treatment of ALS, and we may in the future request Priority Review Designation for any future product candidates, however, we cannot assume that any application for future indications of AMX0035 or any other product candidate we may develop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standard FDA review and approval. For example, the FDA originally set the PDUFA date for AMX0035 for the treatment of ALS, for June 29, 2022, and then extended the review timeline for our NDA to September 2022. Receiving priority review from the FDA does not guarantee approval within the six-month review cycle or at all.</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by the FDA for a product candidate that we develop, and we may be unsuccessful. If we are successful, the designation may not actually lead to a faster development or regulatory review or approval process.</w:t>
      </w:r>
    </w:p>
    <w:p>
      <w:pPr>
        <w:spacing w:after="0" w:line="1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8" w:name="page89"/>
    <w:bookmarkEnd w:id="88"/>
    <w:p>
      <w:pPr>
        <w:ind w:right="220"/>
        <w:spacing w:after="0" w:line="265" w:lineRule="auto"/>
        <w:rPr>
          <w:sz w:val="20"/>
          <w:szCs w:val="20"/>
          <w:color w:val="auto"/>
        </w:rPr>
      </w:pPr>
      <w:r>
        <w:rPr>
          <w:rFonts w:ascii="Times New Roman" w:cs="Times New Roman" w:eastAsia="Times New Roman" w:hAnsi="Times New Roman"/>
          <w:sz w:val="18"/>
          <w:szCs w:val="18"/>
          <w:color w:val="auto"/>
        </w:rPr>
        <w:t>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7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AMX0035 or any other current or future product candidates.</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use of AMX0035 by us and any collaborators in clinical trials, and the sale of AMX0035 in the U.S., Canada and in other jurisdictions, if approved, in the future, may expose us to liability claims. Product liability claims may be brought against us or our partners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AMX0035 or any other current or future product candidates. Regardless of the merits or eventual outcome, liability claims may result in:</w:t>
      </w:r>
    </w:p>
    <w:p>
      <w:pPr>
        <w:spacing w:after="0" w:line="79" w:lineRule="exact"/>
        <w:rPr>
          <w:sz w:val="20"/>
          <w:szCs w:val="20"/>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 including with respect to potential class action lawsuits;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AMX0035 or any other current or future product candidates.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drug, and it is always possible that a drug, even after regulatory approval, may exhibit unforeseen side effects. If AMX0035 was to cause adverse side effects during clinical trials or after approval, we may be exposed to substantial liabilities. Physicians and patients may not comply with any warnings that identify known potential adverse effects and patients who should not use AMX0035 or any of our future product candidates. If any of our current or future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up to $5.0 million in the aggregate, including clinical trial liability, this insurance may not fully cover potential liabilities that we may incur. The cost of any product liability litigation or other proceeding, even if resolved in our favor, could be substantial. We will need to increase our insurance coverage as we commercialize AMX0035 in the U.S., Canada and other jurisdictions, if approved, or any other current or future product candidate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AMX0035 or any other current or future product candidates, which could harm our business, financial condition, results of operations and prospects.</w:t>
      </w:r>
    </w:p>
    <w:p>
      <w:pPr>
        <w:spacing w:after="0" w:line="18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or any future collaborators, obtain and maintain regulatory approvals for AMX0035 or any other current or future product candidate, the terms of approvals and ongoing regulation of our products may limit how we manufacture and market our products, which could impair our ability to generate revenue.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89" w:name="page90"/>
    <w:bookmarkEnd w:id="89"/>
    <w:p>
      <w:pPr>
        <w:ind w:right="40"/>
        <w:spacing w:after="0" w:line="258" w:lineRule="auto"/>
        <w:rPr>
          <w:sz w:val="20"/>
          <w:szCs w:val="20"/>
          <w:color w:val="auto"/>
        </w:rPr>
      </w:pPr>
      <w:r>
        <w:rPr>
          <w:rFonts w:ascii="Times New Roman" w:cs="Times New Roman" w:eastAsia="Times New Roman" w:hAnsi="Times New Roman"/>
          <w:sz w:val="18"/>
          <w:szCs w:val="18"/>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AMX0035 or any other current or future product candidate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18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Health Canada and EMA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fail to conform to cGMPs and be subject to periodic unannounced inspections by the FDA, Health Canada and the EMA to monitor and ensure compliance with cGMPs. Despite our efforts to inspect and verify regulatory compliance, one or more of our third-party manufacturing vendors may be found on regulatory inspection by the FDA, Health Canada, the EMA or other authorities to be not in compliance with cGMP regulations,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1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Accordingly, in any jurisdiction where we or any future collaborators, receive regulatory approval for AMX0035 or one or more future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If we, and any future collaborators, are not able to comply with post-approval regulatory requirements, we, and any future collaborators, could have the regulatory approvals for AMX0035 or any other current or future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expect to have in the future may preclude us from developing, manufacturing and selling certain products outside of the U.S. and will require us to develop and implement costly compliance programs.</w:t>
      </w:r>
    </w:p>
    <w:p>
      <w:pPr>
        <w:spacing w:after="0" w:line="15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have operations in the U.S. and Canada and expect to engage in operations in other jurisdictions, including the EU, as well as other potential jurisdictions, and we must dedicate additional resources to comply with numerous laws and regulations in each jurisdiction in which we currently or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including export control and trade sanctions laws,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0" w:name="page91"/>
    <w:bookmarkEnd w:id="90"/>
    <w:p>
      <w:pPr>
        <w:ind w:right="160"/>
        <w:spacing w:after="0" w:line="26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and maintain them on commercially reasonable terms, we may have to alter our development and commercialization plans.</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advancement of AMX0035, and any other current or future product candidates and development programs or activities, as well as the commercialization of RELYVRIO in the U.S. and ALBRIOZA in Canada and the potential commercialization of AMX0035 in other jurisdictions and of any future product candidates will require substantial additional cash to fund expenses. For some indications of AMX0035 or other current or future product candidates, we may decide to collaborate with additional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collaborations with international biotechnology or pharmaceutical companies for the commercialization of such product candidates.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Health Canada, the FDA, the EMA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AMX0035 or any other current or future product candidates or bring them to market and generate product revenue.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1" w:name="page92"/>
    <w:bookmarkEnd w:id="91"/>
    <w:p>
      <w:pPr>
        <w:ind w:right="580"/>
        <w:spacing w:after="0" w:line="265" w:lineRule="auto"/>
        <w:rPr>
          <w:sz w:val="20"/>
          <w:szCs w:val="20"/>
          <w:color w:val="auto"/>
        </w:rPr>
      </w:pPr>
      <w:r>
        <w:rPr>
          <w:rFonts w:ascii="Times New Roman" w:cs="Times New Roman" w:eastAsia="Times New Roman" w:hAnsi="Times New Roman"/>
          <w:sz w:val="18"/>
          <w:szCs w:val="18"/>
          <w:color w:val="auto"/>
        </w:rPr>
        <w:t>development of the product candidate for which we are seeking to collaborate, reduce or delay its development program or one or more of our other development programs or activities, delay its potential commercialization or reduce the scope of any sales or marketing activities, or increase our expenditures and undertake development or commercialization activities at our own expense.</w:t>
      </w:r>
    </w:p>
    <w:p>
      <w:pPr>
        <w:spacing w:after="0" w:line="17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enter into collaborations with third parties for the development and commercialization of AMX0035 or any other current or future product candidates, and our prospects with respect to AMX0035 and our other current or future product candidates will depend in significant part on the success of those collaborations.</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rely on collaborations for the development and commercialization of AMX0035 and any other current or future product candidates. For example, we may utilize a variety of distribution, collaboration and other marketing arrangements with one or more third parties to facilitate commercialization of AMX0035 or to identify novel drug candidates for neurodegenerative diseases as with our partnership with Sunnybrook Research Institute. Our likely collaborators for any distribution, development, sales, marketing, licensing or broader collaboration arrangements include large and mid-size pharmaceutical companies, regional and national pharmaceutical companies and biotechnology companies. If we enter into such collaborations, we may have limited control over the amount and timing of resources that our collaborators dedicate to the development or commercialization of AMX0035 or any other current or future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AMX0035 and any other current or future product candidates pose a number of risks, including the following:</w:t>
      </w:r>
    </w:p>
    <w:p>
      <w:pPr>
        <w:spacing w:after="0" w:line="117" w:lineRule="exact"/>
        <w:rPr>
          <w:sz w:val="20"/>
          <w:szCs w:val="20"/>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6"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AMX0035 or any future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9"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AMX0035 or any of our other current or future product candidates;</w:t>
      </w:r>
    </w:p>
    <w:p>
      <w:pPr>
        <w:spacing w:after="0" w:line="54"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1020" w:right="40" w:hanging="504"/>
        <w:spacing w:after="0" w:line="26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3"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6" w:lineRule="exact"/>
        <w:rPr>
          <w:rFonts w:ascii="Times New Roman" w:cs="Times New Roman" w:eastAsia="Times New Roman" w:hAnsi="Times New Roman"/>
          <w:sz w:val="18"/>
          <w:szCs w:val="18"/>
          <w:color w:val="auto"/>
        </w:rPr>
      </w:pPr>
    </w:p>
    <w:p>
      <w:pPr>
        <w:ind w:left="1020" w:right="980" w:hanging="504"/>
        <w:spacing w:after="0" w:line="28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92" w:name="page93"/>
    <w:bookmarkEnd w:id="92"/>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7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or maintain regulatory approval or successfully commercialize AMX0035 or any other current or future product candidates, or such approval or commercialization may be delayed, and our business could be substantially harmed.</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of any future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 Clinical trials involve multiple clinical sites, vendors and other third parties and we are dependent on these vendors to ensure appropriate study conduct, statistical analysis and randomization. Errors or deviations they make in any of these activities could impact the usefulness and interpretability of clinical trial results by regulatory authorities. For example, at the Advisory Committee meeting on March 30, 2022, the FDA noted a number of concerns that, in the FDA’s view, impacted the interpretability of the results from the CENTAUR trial. Clinical trials from time to time have deviations where a protocol or standard operating procedure is not perfectly carried out and where corrective actions are taken. While we may perceive these events as low risk, our perception of risk and appropriate corrective actions may differ from that of the regulators’ view. Deviations from protocols or standard operating procedures during studies could result in negative regulatory opinions and outcomes.</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trials is conducted in accordance with the applicable protocol, legal and regulatory requirements and scientific standards. Moreover, the FDA, the EMA and competent authorities of the EU Member States require us to comply with Good Clinical Practices, or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 If we or our third-party contractors fail to comply with applicable GCPs, the clinical data generated in our clinical trials may be deemed unreliable and the FDA, the EMA or other regulatory body may require us to perform additional clinical trials before approving AMX0035, including for additional indications, or any other current or future product candidates, which would delay the regulatory approval process. We cannot be certain that, upon inspection, the FDA, the EMA or other regulatory body will determine that any of our clinical trials comply with GCPs. For example, our clinical trial sites and investigators have in the past and may in the future engage in protocol deviations which could impact the overall interpretability of the outcomes of our clinical trials. We are also required to register certain clinical trials and post the results of completed clinical trials on a government-sponsored database, such as ClinicalTrials.gov, within certain timeframes. Failure to do so can result in fines, adverse publicity and civil and criminal sanctions.</w:t>
      </w:r>
    </w:p>
    <w:p>
      <w:pPr>
        <w:spacing w:after="0" w:line="1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activities. These contractors may also have relationships with other commercial entities, including our competitors, for whom they may also be conducting clinical trials or other drug development activities, which could impede their ability to devote appropriate time to our clinical activities.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clinical data necessary for regulatory approvals for AMX0035 or any other current or future product candidates. If that occurs, we will not be able to, or may be delayed in our efforts to, successfully commercialize AMX0035 or any other current or future product candidates. In such an event, our financial results and the commercial prospects for AMX0035 or any other current or future product candidates that we seek to develop could be harmed, our costs could increase and our ability to generate revenues could be delayed, impaired or foreclosed.</w:t>
      </w:r>
    </w:p>
    <w:p>
      <w:pPr>
        <w:spacing w:after="0" w:line="19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infectious diseases, such as the measures that were taken by governments during the COVID-19 pandemic, could impact personnel at our CROs, which could disrupt our clinical timelines, which could have a material adverse impact on our business, prospects, financial condition, and results of operations.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93" w:name="page94"/>
    <w:bookmarkEnd w:id="93"/>
    <w:p>
      <w:pPr>
        <w:ind w:right="180"/>
        <w:spacing w:after="0" w:line="265"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AMX0035 or any other current or future product candidates or commercialization of any resulting products, producing additional losses and depriving us of potential product revenue.</w:t>
      </w:r>
    </w:p>
    <w:p>
      <w:pPr>
        <w:spacing w:after="0" w:line="17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AMX0035 in compliance with cGMP may increase the risk that we will not have sufficient cGMP-compliant quantities of AMX0035 or necessary quantities of such materials on time or at an acceptable cost.</w:t>
      </w:r>
    </w:p>
    <w:p>
      <w:pPr>
        <w:spacing w:after="0" w:line="15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AMX0035, and we currently lack the resources and the capabilities to do so. As a result, we currently rely on third parties for the manufacture and supply of the active pharmaceutical ingredients, or APIs, in AMX0035, and for the blending and packaging of AMX0035 in accordance with applicable law, regulations and standards. Our current strategy is to outsource all manufacturing of AMX0035 and any other current or future product candidates to third parties.</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currently engage third-party manufacturers to provide the APIs of AMX0035 and for the final drug product formulation of AMX0035 that is being used in our clinical trials and for expanded access and commercial supply, and we engage separate third-parties for the blending and packaging of finished clinical materials. We must be able to demonstrate comparability of drug substance across suppliers along with stability data across suppliers. We currently rely on a single manufacturer to supply one of our APIs and a separate manufacturer to supply the other. Although we believe that there are several potential alternative manufacturers who could manufacture each of the APIs in AMX0035, we may incur added costs and delays in identifying and qualifying any such replacement. Moreover, the extent to which geopolitical events or global health crises may impact our ability to procure sufficient supplies for the development of AMX0035, and any other current or future products and product candidates will depend on whether the economic challenges caused by such events continue to impact the global economy and supply chains, among many other factors. There is no assurance that we will be able to timely secure needed supply arrangements on satisfactory terms, or at all. Our failure to secure these arrangements as needed could have a material adverse effect on our ability to complete the development of AMX0035 or any other current or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AMX0035, and the costs of manufacturing could be prohibitive.</w:t>
      </w:r>
    </w:p>
    <w:p>
      <w:pPr>
        <w:spacing w:after="0" w:line="19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55" w:lineRule="exact"/>
        <w:rPr>
          <w:sz w:val="20"/>
          <w:szCs w:val="20"/>
          <w:color w:val="auto"/>
        </w:rPr>
      </w:pPr>
    </w:p>
    <w:p>
      <w:pPr>
        <w:ind w:left="1020" w:right="40" w:hanging="504"/>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including cGMPs, and reliance on third-parties for manufacturing process development, regulatory compliance and quality assurance;</w:t>
      </w:r>
    </w:p>
    <w:p>
      <w:pPr>
        <w:spacing w:after="0" w:line="54" w:lineRule="exact"/>
        <w:rPr>
          <w:rFonts w:ascii="Times New Roman" w:cs="Times New Roman" w:eastAsia="Times New Roman" w:hAnsi="Times New Roman"/>
          <w:sz w:val="18"/>
          <w:szCs w:val="18"/>
          <w:color w:val="auto"/>
        </w:rPr>
      </w:pPr>
    </w:p>
    <w:p>
      <w:pPr>
        <w:ind w:left="1020" w:right="480" w:hanging="504"/>
        <w:spacing w:after="0" w:line="312"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delays if our third-party manufacturers give greater priority to the supply of other products over AMX0035 or any other current or future product candidates or otherwise do not satisfactorily perform according to the terms of the agreement between us;</w:t>
      </w:r>
    </w:p>
    <w:p>
      <w:pPr>
        <w:spacing w:after="0" w:line="31" w:lineRule="exact"/>
        <w:rPr>
          <w:rFonts w:ascii="Times New Roman" w:cs="Times New Roman" w:eastAsia="Times New Roman" w:hAnsi="Times New Roman"/>
          <w:sz w:val="17"/>
          <w:szCs w:val="17"/>
          <w:color w:val="auto"/>
        </w:rPr>
      </w:pPr>
    </w:p>
    <w:p>
      <w:pPr>
        <w:ind w:left="1020" w:right="280" w:hanging="504"/>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third-parties, or as a result of economic or political developments, including the ongoing conflicts in Ukraine and Israel and global economic instability;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third-parties because of factors beyond our control;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a third-party, at a time that is costly or inconvenient to us;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we do not maintain our key manufacturing relationships, or if any of our contract manufacturers fail to perform their obligations, we may fail to find replacement manufacturers or develop our own manufacturing capabilities, which could adversely impact our ability to commercialize AMX0035 in the U.S. and Canada, and delay or impair our ability to obtain regulatory approval for our products. If we do find replacement manufacturers, we may not be able to enter into agreements with them on terms and conditions favorable to us and there could be a substantial delay before new facilities could be qualified and registered with the FDA, Health Canada, the EMA and other foreign regulatory authorities.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94" w:name="page95"/>
    <w:bookmarkEnd w:id="94"/>
    <w:p>
      <w:pPr>
        <w:ind w:right="80"/>
        <w:spacing w:after="0" w:line="258" w:lineRule="auto"/>
        <w:rPr>
          <w:sz w:val="20"/>
          <w:szCs w:val="20"/>
          <w:color w:val="auto"/>
        </w:rPr>
      </w:pPr>
      <w:r>
        <w:rPr>
          <w:rFonts w:ascii="Times New Roman" w:cs="Times New Roman" w:eastAsia="Times New Roman" w:hAnsi="Times New Roman"/>
          <w:sz w:val="18"/>
          <w:szCs w:val="18"/>
          <w:color w:val="auto"/>
        </w:rPr>
        <w:t>Any change in manufacturer may also involve changes in manufacturing procedures and processes, which could require that we conduct bridging studies between our prior clinical supply used in our clinical trials and that of any new manufacturer. In addition, we will need to verify that any new manufacturing process will produce our product candidate according to the specifications previously submitted to the FDA, Health Canada, the EMA or another regulatory authority. We may be unsuccessful in demonstrating the comparability of clinical supplies which could require the conduct of additional clinical trials.</w:t>
      </w:r>
    </w:p>
    <w:p>
      <w:pPr>
        <w:spacing w:after="0" w:line="1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AMX0035, or any other current or future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Furthermore, a contract manufacturer may possess or acquire technology related to the manufacture of AMX0035 or any other current or future product candidate that such contract manufacturer owns independently. This would increase our reliance on such contract manufacturer or require us to obtain a license from such contract manufacturer in order to have another contract manufacturer manufacture AMX0035 or any other current or future product candidates. If AMX0035 for any of our initial or potential additional indications or any future product candidate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AMX0035 or any other current or future product candidates. Consequently, we may not be able to reach agreement with third-party manufacturers on satisfactory terms, which could delay our commercialization.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AMX0035 or any other current or future product candidates, operating restrictions and criminal prosecutions, any of which could significantly affect supplies of AMX0035 or any other current or future product candidates. The facilities used by our contract manufacturers to manufacture AMX0035 or any other current or future product candidates must be evaluated by the FDA, Health Canada, the EMA and certain other foreign regulatory authorities. We do not control the manufacturing process of, and are completely dependent on, our contract manufacturing partners for compliance with cGMPs. If our contract manufacturers cannot successfully manufacture material that conforms to our specifications and the strict regulatory requirements of the FDA, Health Canada, the EMA or others, we may not be able to secure and/or maintain regulatory approval for our product manufactured at these facilities. In addition, we have no control over the ability of our contract manufacturers to maintain adequate quality control, quality assurance and qualified personnel. If the FDA, Health Canada, the EMA or other comparable foreign regulatory authority finds deficiencies or does not approve these facilities for the manufacture of AMX0035 or any other current or future product candidates, or if it withdraws any such approval in the future, we may need to find alternative manufacturing facilities, which would significantly impact our ability to develop, obtain regulatory approval for or market AMX0035 or any other current or future product candidates, if approved. Furthermore, if we are required to change contract manufacturers, we will be required to verify that the new contract manufacturer maintains facilities and procedures that comply with quality standards and with all applicable regulations, which could result in further costs and delays.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Health Canada, EMA and comparable foreign regulatory requirements could adversely affect our clinical research activities and our ability to develop AMX0035 or any other current or future product candidates and market our products, if approved.</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FDA, Health Canada, the EMA and other foreign regulatory authorities require manufacturers to register manufacturing facilities. The FDA, Health Canada, the EMA and corresponding foreign regulators also inspect these facilities to confirm compliance with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Health Canada, EMA and comparable foreign regulatory requirements could adversely affect our clinical research activities and our ability to develop AMX0035 or any future product candidates and market our products following approval.</w:t>
      </w:r>
    </w:p>
    <w:p>
      <w:pPr>
        <w:spacing w:after="0" w:line="18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AMX0035 or any other current or future product candidates is unable to increase the scale of its production of such product candidates, and/or increase the product yield of its manufacturing, then our costs to manufacture the product may increase and commercialization may be delayed.</w:t>
      </w:r>
    </w:p>
    <w:p>
      <w:pPr>
        <w:spacing w:after="0" w:line="174"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expanded access and commercialization of AMX0035 in the U.S. and Canada, and any subsequent commercialization of AMX0035 in other jurisdictions, if approved,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5" w:name="page96"/>
    <w:bookmarkEnd w:id="95"/>
    <w:p>
      <w:pPr>
        <w:ind w:right="280"/>
        <w:spacing w:after="0" w:line="256" w:lineRule="auto"/>
        <w:rPr>
          <w:sz w:val="20"/>
          <w:szCs w:val="20"/>
          <w:color w:val="auto"/>
        </w:rPr>
      </w:pPr>
      <w:r>
        <w:rPr>
          <w:rFonts w:ascii="Times New Roman" w:cs="Times New Roman" w:eastAsia="Times New Roman" w:hAnsi="Times New Roman"/>
          <w:sz w:val="18"/>
          <w:szCs w:val="18"/>
          <w:color w:val="auto"/>
        </w:rPr>
        <w:t>or any other current or future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AMX0035 or any other current or future product candidates, or if they are unable to produce increased amounts of such product candidates while maintaining the quality of the product and compliance with cGMPs, then we may not be able to meet the demands of clinical trials, expanded access or market demands, which could decrease our ability to generate profits and have a material adverse impact on our business and results of operation.</w:t>
      </w:r>
    </w:p>
    <w:p>
      <w:pPr>
        <w:spacing w:after="0" w:line="18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active ingredients from third parties to develop and commercialize AMX0035 or a future product candidate, which could increase our development costs and delay our ability to commercialize such product candidate.</w:t>
      </w:r>
    </w:p>
    <w:p>
      <w:pPr>
        <w:spacing w:after="0" w:line="1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Should we decide to use API in any of AMX0035 or any other current or future product candidates that are proprietary to one or more third parties, we would need to maintain licenses to those active ingredients from those third parties. If we are unable to gain or continue to access rights to these active ingredients prior to conducting preclinical toxicology studies intended to support clinical trials, we may need to develop alternate product candidates from these programs by either accessing or developing alternate active ingredients, resulting in increased development costs and delays in commercialization of these product candidates. If we are unable to gain or maintain continued access rights to the desired active ingredients on commercially reasonable terms or develop suitable alternate active ingredients, we may not be able to commercialize product candidates from these programs.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on our ability to protect our intellectual property and proprietary technology.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rights protection through patents, trademarks and trade secrets in the U.S. and other countries with respect to our proprietary product candidate, AMX0035, and any future proprietary product candidates. If we do not adequately protect our intellectual property rights, competitors may be able to erode, negate or preempt any competitive advantage we may have, which could harm our business and ability to sustain profitability. To protect our proprietary position, we have filed patent applications and may file other patent applications in the U.S. or abroad related to AMX0035 or any other current or future product candidates that are important to our business; we may also license or purchase patents or patent applications filed by others. The patent application process is expensive and time-consuming. We may not be able to file and prosecute all necessary or desirable patent applications at a reasonable cost or in a timely manner.</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therapeutics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compounds, formulations or methods or by claiming subject matter that could dominate our patent position.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portfolio may not provide us with adequate and continuing patent protection sufficient to exclude others from commercializing products similar to AMX0035 or any other current or future product candidates. In the event that an alternative combination, or TURSO as a single drug product, is developed and approved for use in indications for which we may seek approval and falls outside the scope of our patent claims, the marketability and commercial success of AMX0035 could be materially harmed.</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Even if they are unchallenged, our owned patents and pending patent applications, if issued, may not provide us with any meaningful protection or prevent competitors from designing around our patent claims to circumvent our patents by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6" w:name="page97"/>
    <w:bookmarkEnd w:id="96"/>
    <w:p>
      <w:pPr>
        <w:ind w:right="100"/>
        <w:spacing w:after="0" w:line="260" w:lineRule="auto"/>
        <w:rPr>
          <w:sz w:val="20"/>
          <w:szCs w:val="20"/>
          <w:color w:val="auto"/>
        </w:rPr>
      </w:pPr>
      <w:r>
        <w:rPr>
          <w:rFonts w:ascii="Times New Roman" w:cs="Times New Roman" w:eastAsia="Times New Roman" w:hAnsi="Times New Roman"/>
          <w:sz w:val="18"/>
          <w:szCs w:val="18"/>
          <w:color w:val="auto"/>
        </w:rPr>
        <w:t>developing similar or alternative therapeutics in a non-infringing manner. For example, a third party may develop a competitive therapy that provides benefits similar to our product candidate but falls outside the scope of our patent protection or license rights. If the patent protection provided by the patent and patent applications we hold or pursue with respect to AMX0035 or any other current or future product candidates is not sufficiently broad to impede such competition, our ability to successfully commercialize our product candidate could be negatively affected, which would harm our business.</w:t>
      </w:r>
    </w:p>
    <w:p>
      <w:pPr>
        <w:spacing w:after="0" w:line="17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 or patent applications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carries uncertainty. In addition, the determination of patent rights with respect to pharmaceutical compounds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not published until 18 months after filing, or in some cases not at all. Therefore, we cannot be certain that we were the first to make the inventions claimed in our patent or pending patent applications, or that we were the first to file for patent protection of such inventions. If third parties have filed prior patent applications on inventions claimed in our patents or applications that were filed on or before March 15, 2013, an interference proceeding in the U.S. can be initiated by such third parties to determine who was the first to invent any of the subject matter covered by the patent claims of our applications. If third parties have filed such prior applications after March 15, 2013, a derivation proceeding in the U.S. can be initiated by such third parties to determine whether our invention was derived from theirs.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may be challenged in the courts or patent offices in the U.S. and abroad. Also, while we believe that we have disclosed all potentially relevant prior art relating to our patents and patent applications, there is no assurance that we have found all such prior art or disclosed it in every relevant jurisdiction. Publications of discoveries in the scientific literature often lag behind the actual discoveries, and patent applications in the U.S. and other jurisdictions are typically not published until 18 months after filing or, in some cases, not at all.</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Therefore, we cannot know with certainty whether we were the first to make the inventions claimed in our patents or pending patent applications,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 Patent and Trademark Office, or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7" w:name="page98"/>
    <w:bookmarkEnd w:id="97"/>
    <w:p>
      <w:pPr>
        <w:ind w:right="380"/>
        <w:spacing w:after="0" w:line="281" w:lineRule="auto"/>
        <w:rPr>
          <w:sz w:val="20"/>
          <w:szCs w:val="20"/>
          <w:color w:val="auto"/>
        </w:rPr>
      </w:pPr>
      <w:r>
        <w:rPr>
          <w:rFonts w:ascii="Times New Roman" w:cs="Times New Roman" w:eastAsia="Times New Roman" w:hAnsi="Times New Roman"/>
          <w:sz w:val="18"/>
          <w:szCs w:val="18"/>
          <w:color w:val="auto"/>
        </w:rPr>
        <w:t>others from using or commercializing similar or identical technology and products, or limit the duration of the patent protection of our technology and products.</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jurisdictions covering significant commercial markets, such as the European Patent Office, or EPO, China and Japan, restrict the patentability of methods of treatment of the human body more than U.S. law does. If these developments were to occur, they could have a material adverse effect on our ability to generate revenue.</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future development partners will be successful in protecting AMX0035 or any other current or future product candidates by obtaining and defending patents. These risks and uncertainties include the following:</w:t>
      </w:r>
    </w:p>
    <w:p>
      <w:pPr>
        <w:spacing w:after="0" w:line="69" w:lineRule="exact"/>
        <w:rPr>
          <w:sz w:val="20"/>
          <w:szCs w:val="20"/>
          <w:color w:val="auto"/>
        </w:rPr>
      </w:pPr>
    </w:p>
    <w:p>
      <w:pPr>
        <w:ind w:left="1020" w:right="220" w:hanging="504"/>
        <w:spacing w:after="0" w:line="260"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54" w:lineRule="exact"/>
        <w:rPr>
          <w:rFonts w:ascii="Times New Roman" w:cs="Times New Roman" w:eastAsia="Times New Roman" w:hAnsi="Times New Roman"/>
          <w:sz w:val="18"/>
          <w:szCs w:val="18"/>
          <w:color w:val="auto"/>
        </w:rPr>
      </w:pPr>
    </w:p>
    <w:p>
      <w:pPr>
        <w:ind w:left="1020" w:right="300" w:hanging="504"/>
        <w:spacing w:after="0" w:line="265"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AMX0035;</w:t>
      </w:r>
    </w:p>
    <w:p>
      <w:pPr>
        <w:spacing w:after="0" w:line="69" w:lineRule="exact"/>
        <w:rPr>
          <w:rFonts w:ascii="Times New Roman" w:cs="Times New Roman" w:eastAsia="Times New Roman" w:hAnsi="Times New Roman"/>
          <w:sz w:val="18"/>
          <w:szCs w:val="18"/>
          <w:color w:val="auto"/>
        </w:rPr>
      </w:pPr>
    </w:p>
    <w:p>
      <w:pPr>
        <w:ind w:left="1020" w:right="140" w:hanging="504"/>
        <w:spacing w:after="0" w:line="312" w:lineRule="auto"/>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U.S. for disease treatments that prove successful, as a matter of public policy regarding worldwide health concerns;</w:t>
      </w:r>
    </w:p>
    <w:p>
      <w:pPr>
        <w:spacing w:after="0" w:line="31" w:lineRule="exact"/>
        <w:rPr>
          <w:rFonts w:ascii="Times New Roman" w:cs="Times New Roman" w:eastAsia="Times New Roman" w:hAnsi="Times New Roman"/>
          <w:sz w:val="17"/>
          <w:szCs w:val="17"/>
          <w:color w:val="auto"/>
        </w:rPr>
      </w:pPr>
    </w:p>
    <w:p>
      <w:pPr>
        <w:ind w:left="1020" w:right="20" w:hanging="504"/>
        <w:spacing w:after="0" w:line="28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have patent laws less favorable to patentees than those upheld by U.S. courts, allowing foreign competitors a better opportunity to create, develop and market competing product candidates;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spacing w:after="0" w:line="16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and proprietary, unpatented know-how. Although we have taken steps to protect our trade secrets and unpatented know-how, including entering into confidentiality agreements with third parties, and confidential information and invention assignment agreements with employees, consultants, collaborators, vendors,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We may not be able to prevent the unauthorized disclosure or use of our technical knowledge or trade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98" w:name="page99"/>
    <w:bookmarkEnd w:id="98"/>
    <w:p>
      <w:pPr>
        <w:ind w:right="60"/>
        <w:spacing w:after="0" w:line="256" w:lineRule="auto"/>
        <w:rPr>
          <w:sz w:val="20"/>
          <w:szCs w:val="20"/>
          <w:color w:val="auto"/>
        </w:rPr>
      </w:pPr>
      <w:r>
        <w:rPr>
          <w:rFonts w:ascii="Times New Roman" w:cs="Times New Roman" w:eastAsia="Times New Roman" w:hAnsi="Times New Roman"/>
          <w:sz w:val="18"/>
          <w:szCs w:val="18"/>
          <w:color w:val="auto"/>
        </w:rPr>
        <w:t>secrets by consultants, collaborators, vendors, advisors, former employees and current employees.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or proprietary know-how, our business may be harmed.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for our proprietary product candidate, AMX0035, as well as on successfully defending these patents against potential third-party challenges. Our ability to protect our product candidate from unauthorized making, using, selling, offering to sell or importing by third parties is dependent on the extent to which we have rights under valid and enforceable patents that cover these activities.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of the requirements for patentability is a subjective determination based on the application of law and jurisprudence. The ultimate determination by the U.S. Patent and Trademark Office, or USPTO, or by a court or other trier of fact in the U.S., or corresponding foreign national patent offices or courts, on whether a claim meets all requirements of patentability cannot be assured. Accordingly, we cannot predict the breadth of claims that may be allowed or enforced in our owned patents or patent applications.</w:t>
      </w:r>
    </w:p>
    <w:p>
      <w:pPr>
        <w:spacing w:after="0" w:line="18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patents and patent applications in the U.S. or foreign jurisdictions. Any such challenge, if successful, could limit patent protection for our products and current or future product candidates and/or materially harm our business.</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challenges during litigation, third parties can challenge the validity of our patents in the U.S. using post-grant review and inter partes review proceedings, which some third parties have been using to cause the cancellation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spacing w:after="0" w:line="18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the EU, third parties can challenge the validity of our patents by filing an Opposition before the EPO. An adverse determination by the Opposition Board can result in the narrowing or invalidation of a European patent. If any of our European patents are challenged by a third party in such an opposition proceeding, there is no guarantee that we will be successful in defending the patent, which may result in a loss of the challenged patent right to 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99" w:name="page100"/>
    <w:bookmarkEnd w:id="99"/>
    <w:p>
      <w:pPr>
        <w:spacing w:after="0" w:line="281"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5" w:lineRule="exact"/>
        <w:rPr>
          <w:sz w:val="20"/>
          <w:szCs w:val="20"/>
          <w:color w:val="auto"/>
        </w:rPr>
      </w:pPr>
    </w:p>
    <w:p>
      <w:pPr>
        <w:ind w:left="1020" w:right="380" w:hanging="504"/>
        <w:spacing w:after="0" w:line="28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data to support full patent applications that protect the entire breadth of developments in one or more of our programs;</w:t>
      </w:r>
    </w:p>
    <w:p>
      <w:pPr>
        <w:spacing w:after="0" w:line="54"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pending applications issue as patents, they may be challenged by third parties as invalid or unenforceable under U.S. or foreign laws;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commercialize AMX0035 before our relevant patents expire;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make the inventions covered by each of our patents and pending patent applications;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or product candidates that are separately patentable.</w:t>
      </w:r>
    </w:p>
    <w:p>
      <w:pPr>
        <w:spacing w:after="0" w:line="225"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In addition, to the extent that we are unable to obtain and maintain patent protection for AMX0035 or any other current or future product candidates or in the event that such patent protection expires, it may no longer be cost-effective to extend our portfolio by pursuing additional development of a product or product candidate for follow-on indications.</w:t>
      </w:r>
    </w:p>
    <w:p>
      <w:pPr>
        <w:spacing w:after="0" w:line="17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5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patents, we also may rely on trade secrets to protect our proprietary product candidate, especially where we do not believe patent protection is appropriate or obtainable. Trade secrets are difficult to protect. We seek to protect our confidential proprietary information, in part, by confidentiality agreements and invention assignment agreements with our employees, consultants, scientific advisors, contractors and collaborators. These agreements are designed to protect our proprietary information.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our employees, consultants, contractors, outside scientific collaborators and other advisers may unintentionally or willfully disclose our information to competitors. Enforcing a claim that a third-party entity illegally obtained and is using any of our trade secrets is expensive and time-consuming, and the outcome is unpredictable, and we may not be able to obtain adequate remedies for such breaches. We also seek to preserve the integrity and confidentiality of our confidential proprietary information by maintaining physical security of our premises and physical and electronic security of our IT systems, but it is possible that these security measures could be breached. In addition, courts outside the U.S. are sometimes less willing to protect trade secrets. Moreover, our competitors may independently develop equivalent knowledge, methods and know-how. Notably, proprietary technology protected by a trade secret does not preempt the patenting of independently developed equivalent technology, even if such equivalent technology is invented subsequent to the technology protected by a trade secret. If any of our confidential proprietary information were to be lawfully obtained or independently developed by a competitor, we would have no right to prevent such competitor from using that technology or information to compete with us, which could harm our competitive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82" w:lineRule="exact"/>
        <w:rPr>
          <w:sz w:val="20"/>
          <w:szCs w:val="20"/>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the U.S.,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PTE is limited to the approved indication (or any additional indications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0" w:name="page101"/>
    <w:bookmarkEnd w:id="100"/>
    <w:p>
      <w:pPr>
        <w:ind w:right="120"/>
        <w:spacing w:after="0" w:line="281" w:lineRule="auto"/>
        <w:rPr>
          <w:sz w:val="20"/>
          <w:szCs w:val="20"/>
          <w:color w:val="auto"/>
        </w:rPr>
      </w:pPr>
      <w:r>
        <w:rPr>
          <w:rFonts w:ascii="Times New Roman" w:cs="Times New Roman" w:eastAsia="Times New Roman" w:hAnsi="Times New Roman"/>
          <w:sz w:val="18"/>
          <w:szCs w:val="18"/>
          <w:color w:val="auto"/>
        </w:rPr>
        <w:t>approved during the period of extension). We anticipate applying for PTE in the U.S. Similar extensions may be available in other countries where we are prosecuting patents and we likewise anticipate applying for such extensions.</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or failure to otherwise satisfy any of the numerous applicable requirements. Moreover,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interpretation of patent law in the U.S. and other jurisdictions could diminish the value of patents in general, thereby impairing our ability to protect our products.</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 Patent and Trademark Office, and across the various federal courts, including the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spacing w:after="0" w:line="18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Filing, prosecuting, enforcing and defending patents on our product candidate in all countries throughout the world would be prohibitively expensive, and our intellectual property rights in some countries outside the U.S. can be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the EU do not afford intellectual property protection to the same extent as the laws of the U.S. and the EU.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the EU or from selling or importing products made from our inventions in and into the U.S.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9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whether or not successful, could result in substantial costs and divert our efforts and resources from other aspects of our business. Moreover, such proceedings could put our patents at risk of being invalidated or held unenforceable, or interpreted narrowly, and our pending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01" w:name="page102"/>
    <w:bookmarkEnd w:id="101"/>
    <w:p>
      <w:pPr>
        <w:ind w:right="340"/>
        <w:spacing w:after="0" w:line="281" w:lineRule="auto"/>
        <w:rPr>
          <w:sz w:val="20"/>
          <w:szCs w:val="20"/>
          <w:color w:val="auto"/>
        </w:rPr>
      </w:pPr>
      <w:r>
        <w:rPr>
          <w:rFonts w:ascii="Times New Roman" w:cs="Times New Roman" w:eastAsia="Times New Roman" w:hAnsi="Times New Roman"/>
          <w:sz w:val="18"/>
          <w:szCs w:val="18"/>
          <w:color w:val="auto"/>
        </w:rPr>
        <w:t>in all jurisdictions in which we may wish to market our products, if approved. Accordingly, our efforts to protect our intellectual property rights in such countries may be inadequate.</w:t>
      </w:r>
    </w:p>
    <w:p>
      <w:pPr>
        <w:spacing w:after="0" w:line="15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15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third party or former employee or collaborator may claim an inventorship or ownership interest in one or more of our or our licensors’ patents or other proprietary or intellectual property rights. A third party could bring legal actions against us and seek monetary damages and/or enjoin clinical testing, manufacturing and marketing of the affected product or products. While we are presently unaware of any claims or assertions by third-parties with respect to inventorship or ownership of our patents or other intellectual property, we cannot guarantee that a third party will not assert a claim or an interest in any of such patents or intellectual property. If we fail in defending any such claims, in addition to paying monetary damages, we may lose valuable intellectual property rights, such as exclusive ownership of, or right to use, intellectual property that is important to AMX0035 or any other current or future product candidates. Further, regardless of the outcome, if we become involved in any litigation, it could consume a substantial portion of our resources, and cause a significant diversion of effort by our technical and management personnel.</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AMX0035 or any other current or future product candidates.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 without infringing the intellectual property and other proprietary rights of third parties. However, our research, development and commercialization activities may be subject to claims that we infringe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AMX0035 or any other current or future product candidates. If any third-party patents or patent applications are found to cover AMX0035 or any other current or future product candidates or their methods of use or manufacture, we may not be free to manufacture or market such product candidates as planned without obtaining a license, which may not be available on commercially reasonable terms, or at all.</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patent infringement lawsuits in the U.S. or abroad. There may be third-party patents or patent applications with claims to materials, formulations, methods of manufacture or methods for treatment related to the composition, use or manufacture of AMX0035 or any other current or future product candidates. While we perform periodic searches for relevant patents and patent applications with respect to our proprietary drug candidate, AMX0035,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U.S. and abroad that is relevant to or necessary for the commercialization of AMX0035 or any other current or future product candidates in any jurisdiction. Because patent applications can take many years to issue, there may be currently pending patent applications which may later result in issued patents that AMX0035 or any other current or future product candidates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 product or method either do not infringe the patent claims of the relevant patent or that the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2" w:name="page103"/>
    <w:bookmarkEnd w:id="102"/>
    <w:p>
      <w:pPr>
        <w:ind w:right="20"/>
        <w:spacing w:after="0" w:line="251"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If we were required to obtain a license to continue to manufacture or market the affected product, we may be required to pay substantial royalties or grant cross-licenses to our patents. We cannot, however, assure you that any such license will be available on acceptable terms, if at all. 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AMX0035 or any other current or future product candidates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Some of these employees, including members of our senior management, may have executed proprietary rights, non-disclosure and non-competition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sustain damages or lose key personnel, valuable intellectual property rights or the personnel’s work product, which could hamper or prevent commercialization of our technology, which in turn could materially affect our commercial development efforts.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trademarks and our business may be adversely affected.</w:t>
      </w:r>
    </w:p>
    <w:p>
      <w:pPr>
        <w:spacing w:after="0" w:line="15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3" w:name="page104"/>
    <w:bookmarkEnd w:id="103"/>
    <w:p>
      <w:pPr>
        <w:ind w:right="40"/>
        <w:spacing w:after="0" w:line="254" w:lineRule="auto"/>
        <w:rPr>
          <w:sz w:val="20"/>
          <w:szCs w:val="20"/>
          <w:color w:val="auto"/>
        </w:rPr>
      </w:pPr>
      <w:r>
        <w:rPr>
          <w:rFonts w:ascii="Times New Roman" w:cs="Times New Roman" w:eastAsia="Times New Roman" w:hAnsi="Times New Roman"/>
          <w:sz w:val="18"/>
          <w:szCs w:val="18"/>
          <w:color w:val="auto"/>
        </w:rPr>
        <w:t>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2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5" w:lineRule="exact"/>
        <w:rPr>
          <w:sz w:val="20"/>
          <w:szCs w:val="20"/>
          <w:color w:val="auto"/>
        </w:rPr>
      </w:pPr>
    </w:p>
    <w:p>
      <w:pPr>
        <w:ind w:left="1020" w:right="30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competitive to AMX0035, for example a TURSO monotherapy, or any of our future product candidates but that are not covered by the claims of the patents that we own;</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otherwise circumvent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might not have been the first to invent the inventions covered by the patents or patent applications that we own;</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might not have been the first to file patent applications covering certain of the patents or patent applications that we or they own or have obtained a license, or will own or will have obtained a license;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as a result of legal challenges by our competitors;</w:t>
      </w:r>
    </w:p>
    <w:p>
      <w:pPr>
        <w:spacing w:after="0" w:line="54"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may be challenged by third parties;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 and</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enforcement is expensive and time-consuming and difficult to predict; thus we may not be able to enforce any of our patents against a competitor.</w:t>
      </w:r>
    </w:p>
    <w:p>
      <w:pPr>
        <w:spacing w:after="0" w:line="15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for research and development and manufacturing requires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rely on third parties for research and development work, and expect to rely on third parties for future manufacturing of our proprietary product candidate, AMX0035, and any other current or future product candidates. We also expect to collaborate with third parties on the development of AMX0035 and any other current or future product candidates. As a result of the aforementioned collaborations, we must, at times, share trade secrets with our collaborators.</w:t>
      </w:r>
    </w:p>
    <w:p>
      <w:pPr>
        <w:spacing w:after="0" w:line="18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Trade secrets or confidential know-how can be difficult to maintain as confidential. To protect this type of information against disclosure or appropriation by competitors, our policy is to require our employees, consultants, contractors and</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04" w:name="page105"/>
    <w:bookmarkEnd w:id="104"/>
    <w:p>
      <w:pPr>
        <w:spacing w:after="0" w:line="253" w:lineRule="auto"/>
        <w:rPr>
          <w:sz w:val="20"/>
          <w:szCs w:val="20"/>
          <w:color w:val="auto"/>
        </w:rPr>
      </w:pPr>
      <w:r>
        <w:rPr>
          <w:rFonts w:ascii="Times New Roman" w:cs="Times New Roman" w:eastAsia="Times New Roman" w:hAnsi="Times New Roman"/>
          <w:sz w:val="18"/>
          <w:szCs w:val="18"/>
          <w:color w:val="auto"/>
        </w:rPr>
        <w:t>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Moreover, the enforceability of confidentiality agreements may vary from jurisdiction to jurisdiction.</w:t>
      </w:r>
    </w:p>
    <w:p>
      <w:pPr>
        <w:spacing w:after="0" w:line="19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5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are important or necessary to the development of additional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additional future product candidates, if approved, would likely be delayed.</w:t>
      </w:r>
    </w:p>
    <w:p>
      <w:pPr>
        <w:spacing w:after="0" w:line="1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risks described elsewhere pertaining to our intellectual property rights also apply to the intellectual property rights that we may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including the conflict between Russia and Ukraine and the conflict in Israel, and high inflation and rising interest rates, any of which could have a material adverse effect on our business, financial condition and results of operations.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and global markets have recently been experiencing volatility and disruption caused by economic uncertainty, including as a result of the ongoing Russia-Ukraine conflict and the effects of sanctions imposed on Russia as a result of the conflict, as well as the recent conflict in Israel and the Gaza Strip. In February 2022, a full-scale military invasion of Ukraine by Russian troops began. Although the length and impact of the ongoing military conflict is highly unpredictable, the conflict in Ukraine has led to market disruptions, including significant volatility in commodity prices, credit and capital markets, as well as supply chain interruptions, which contributed to record inflation globally. In addition, global markets may experience additional disruptions as a result of the current armed conflict in Israel and the Gaza Strip, with Israel having declared war on Hamas, a U.S. designated Foreign Terrorist Organization, due to recent attacks. We are continuing to monitor inflation, the situations in Ukraine and Israel and global capital markets and assessing their potential impact on our business, including the impact on the supply chains we rely on for the manufacture of AMX0035 or any other current or future product candidates.</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events described above, geopolitical tensions, or record inflation, it is impossible to predict the extent to which our operations will be impacted in the short and long term, or the ways in which such matters may impact our business. The extent and duration of the conflicts in Ukraine and Israel,</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05" w:name="page106"/>
    <w:bookmarkEnd w:id="105"/>
    <w:p>
      <w:pPr>
        <w:ind w:right="320"/>
        <w:spacing w:after="0" w:line="281" w:lineRule="auto"/>
        <w:rPr>
          <w:sz w:val="20"/>
          <w:szCs w:val="20"/>
          <w:color w:val="auto"/>
        </w:rPr>
      </w:pPr>
      <w:r>
        <w:rPr>
          <w:rFonts w:ascii="Times New Roman" w:cs="Times New Roman" w:eastAsia="Times New Roman" w:hAnsi="Times New Roman"/>
          <w:sz w:val="18"/>
          <w:szCs w:val="18"/>
          <w:color w:val="auto"/>
        </w:rPr>
        <w:t>geopolitical tensions, record inflation and resulting market disruptions are impossible to predict but could be substantial. Any such disruptions may also magnify the impact of other risks we face.</w:t>
      </w:r>
    </w:p>
    <w:p>
      <w:pPr>
        <w:spacing w:after="0" w:line="15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principal consultants and others, and the loss of their services would materially harm our business.</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hire and retain the services of our current executive officers, principal consultants and others. We have entered into employment agreements with our current executive officers, but they may terminate their employment with us at any time. The loss of their services might impede the achievement of our research, development and commercialization objectives.</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For example, in February 2024, our then Chief Human Resource Officer, Debra Canner, was replaced by Linda Arsenault as our current Chief Human Resource Officer. In December 2023, our then Global Head of Clinical R&amp;D and Chief Medical Officer, Patrick Yeramian, M.D., was replaced by Camille L. Bedrosian, MD as our current Chief Medical Officer. Additionally, in December, 2023, our then Chief Commercial Officer, Margaret Olinger, left the Company.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18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AMX0035 or any other current or future product candidates will be limited.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only have a limited number of employees to manage and operate our business.</w:t>
      </w:r>
    </w:p>
    <w:p>
      <w:pPr>
        <w:spacing w:after="0" w:line="22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As of December 31, 2023, we had 384 full-time employees. Our focus on the development and commercialization of AMX0035 requires us to optimize cash utilization and to manage and operate our business in a highly efficient manner. We cannot assure you that we will be able to hire and/or retain adequate staffing levels to develop and commercialize AMX0035 or to run our operations and/or to accomplish all of the objectives that we otherwise would seek to accomplish.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6" w:name="page107"/>
    <w:bookmarkEnd w:id="10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58"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w:t>
      </w:r>
    </w:p>
    <w:p>
      <w:pPr>
        <w:spacing w:after="0" w:line="69" w:lineRule="exact"/>
        <w:rPr>
          <w:sz w:val="20"/>
          <w:szCs w:val="20"/>
          <w:color w:val="auto"/>
        </w:rPr>
      </w:pPr>
    </w:p>
    <w:p>
      <w:pPr>
        <w:ind w:left="1020" w:right="24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or similar regulations of comparable non-U.S. regulatory authorities, including those laws requiring the reporting of true, complete and accurate information to such authorities;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marketing,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expect to continue to significantly increase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the country.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AMX0035 or any other current or future product candidates.</w:t>
      </w:r>
    </w:p>
    <w:p>
      <w:pPr>
        <w:spacing w:after="0" w:line="182"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pandemic, epidemic, or outbreak of an infectious disease may materially and adversely affect our business, including our preclinical studies, clinical trials, third parties on whom we rely, our supply chain, our ability to raise capital, our ability to conduct regular business and our financial results.</w:t>
      </w:r>
    </w:p>
    <w:p>
      <w:pPr>
        <w:spacing w:after="0" w:line="13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are subject to risks related to public health crises. For instance, from 2020 through 2022, we experienced certain impacts from the COVID-19 pandemic, including alterations to our preclinical and clinical trial activities, such as scheduling certain work off-site and performing off-site assessments. There can be no guarantee we will not experience other impacts in the future, such as being forced to further delay or pause enrollment, experiencing potential interruptions to our supply chain,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107" w:name="page108"/>
    <w:bookmarkEnd w:id="107"/>
    <w:p>
      <w:pPr>
        <w:ind w:right="780"/>
        <w:spacing w:after="0" w:line="281" w:lineRule="auto"/>
        <w:rPr>
          <w:sz w:val="20"/>
          <w:szCs w:val="20"/>
          <w:color w:val="auto"/>
        </w:rPr>
      </w:pPr>
      <w:r>
        <w:rPr>
          <w:rFonts w:ascii="Times New Roman" w:cs="Times New Roman" w:eastAsia="Times New Roman" w:hAnsi="Times New Roman"/>
          <w:sz w:val="18"/>
          <w:szCs w:val="18"/>
          <w:color w:val="auto"/>
        </w:rPr>
        <w:t>facing difficulties or additional costs in enrolling patients in future clinical trials or being able to achieve full enrollment of our studies within the timeframes we anticipate, or at all.</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negative impact any future pandemic or similar disruption has on patient enrollment or treatment, or the development of AMX0035 and any other current or future product candidates, could cause costly delays to clinical trial activities, which could adversely affect our ability to obtain regulatory approval for and to commercialize AMX0035 and any other current or future product candidates, if approved, increase our operating expenses, which could have a material adverse effect on our financial results. The COVID-19 pandemic and other global macroeconomic factors have also caused significant volatility in public equity markets and disruptions to the U.S. and global economies and any future pandemic or similar disruption could lead to further market dislocation. Any such increased volatility and economic dislocation may make it more difficult for us to raise capital on favorable terms, or at all. If we or any of the third parties with whom we engage were to experience business disruptions, our ability to conduct our business in the manner and on the timelines presently planned could be materially and negatively affected, which could have a material adverse impact on our business and our results of operations and financial conditions. To the extent any future pandemic or similar disruption adversely affects our business and financial results, it may also heighten many of the other risks described in this ‘‘Risk Factors’’ section, such as those relating to the timing and completion of our clinical trials and our ability to obtain future financing.</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From example, from January 7, 2022, the first day that our stock traded on the Nasdaq Global Select Market, through December 31, 2023, our stock has traded within a range of a high price of $41.93 and a low price of $6.51 per share. In addition to the factors discussed in this “Risk Factors” section and elsewhere in Annual Report, these factors include:</w:t>
      </w:r>
    </w:p>
    <w:p>
      <w:pPr>
        <w:spacing w:after="0" w:line="74" w:lineRule="exact"/>
        <w:rPr>
          <w:sz w:val="20"/>
          <w:szCs w:val="20"/>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revenues;</w:t>
      </w:r>
    </w:p>
    <w:p>
      <w:pPr>
        <w:spacing w:after="0" w:line="116" w:lineRule="exact"/>
        <w:rPr>
          <w:rFonts w:ascii="Times New Roman" w:cs="Times New Roman" w:eastAsia="Times New Roman" w:hAnsi="Times New Roman"/>
          <w:sz w:val="18"/>
          <w:szCs w:val="18"/>
          <w:color w:val="auto"/>
        </w:rPr>
      </w:pPr>
    </w:p>
    <w:p>
      <w:pPr>
        <w:jc w:val="both"/>
        <w:ind w:left="1020" w:right="120" w:hanging="504"/>
        <w:spacing w:after="0" w:line="26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future preclinical studies and clinical trials, or any future preclinical studies or clinical trials, we may conduct of AMX0035 and any other current or future product candidates, or changes in the development status of our current and any future product candidates;</w:t>
      </w:r>
    </w:p>
    <w:p>
      <w:pPr>
        <w:spacing w:after="0" w:line="69"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regulatory submissions for AMX0035 or any other current or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p>
      <w:pPr>
        <w:spacing w:after="0" w:line="69"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studies and clinical trials, including PHOENIX, our global Phase 3 clinical trial of AMX0035 for the treatment of 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6"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approvals for AMX0035 and any other current or future product candidates;</w:t>
      </w:r>
    </w:p>
    <w:p>
      <w:pPr>
        <w:spacing w:after="0" w:line="54"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AMX0035 and any other current or future product candidates, including but not limited to clinical trial requirements for approvals;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AMX0035 and any other current or future product candidates, if approved;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commercialize AMX0035 and any other current or future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08" w:name="page109"/>
    <w:bookmarkEnd w:id="108"/>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AMX0035 and any other current or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 and rate of expenditures;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geographical, and economic conditions, including the impact of global health crises such as the COVID-19 pandemic, historically high inflation, rising interest rates and the ongoing conflicts in Ukraine and Israel;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In addition, the stock market in general,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3" w:lineRule="exact"/>
        <w:rPr>
          <w:sz w:val="20"/>
          <w:szCs w:val="20"/>
          <w:color w:val="auto"/>
        </w:rPr>
      </w:pPr>
    </w:p>
    <w:p>
      <w:pPr>
        <w:jc w:val="both"/>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economic, political and geographical conditions may have serious adverse consequences on our business, financial condition and stock price.</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increases in the rate of inflation and interest rates and uncertainty about economic stability, including most recently in connection with the conflict in Ukraine and Israel.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Our business could also be impacted by volatility caused by geopolitical events such as the conflicts in Ukraine and Israel.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109" w:name="page110"/>
    <w:bookmarkEnd w:id="109"/>
    <w:p>
      <w:pPr>
        <w:ind w:right="40"/>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and the reduced compliance requirements applicable to emerging growth companies no longer apply to us.</w:t>
      </w:r>
    </w:p>
    <w:p>
      <w:pPr>
        <w:spacing w:after="0" w:line="15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no longer qualify as an emerging growth company as defined in the Jumpstart Our Business Startups Act of 2012, or the JOBS Act, and as such we no longer are entitled to rely on exemptions from certain compliance requirements that are applicable to companies that are emerging growth companies. As a result, subject to certain grace periods, we are now required to:</w:t>
      </w:r>
    </w:p>
    <w:p>
      <w:pPr>
        <w:spacing w:after="0" w:line="69" w:lineRule="exact"/>
        <w:rPr>
          <w:sz w:val="20"/>
          <w:szCs w:val="20"/>
          <w:color w:val="auto"/>
        </w:rPr>
      </w:pPr>
    </w:p>
    <w:p>
      <w:pPr>
        <w:ind w:left="1020" w:right="380" w:hanging="504"/>
        <w:spacing w:after="0" w:line="28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registered public accounting firm to provide an attestation report on our internal controls over financial reporting pursuant to Section 404(b) of the Sarbanes-Oxley Act of 2002;</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stockholder advisory votes; and</w:t>
      </w:r>
    </w:p>
    <w:p>
      <w:pPr>
        <w:spacing w:after="0" w:line="116"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compensation discussion and analysis, including disclosure regarding certain executive compensation related items such as the correlation between executive compensation and performance and comparisons of the chief executive officer’s compensation to median employee compensation.</w:t>
      </w:r>
    </w:p>
    <w:p>
      <w:pPr>
        <w:spacing w:after="0" w:line="1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no longer able to take advantage of cost savings associated with the JOBS Act. Furthermore, if the additional requirements applicable to non-emerging growth companies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Furthermore, if we are unable to satisfy our obligations as a non-emerging growth company, we could be subject to delisting of our common stock, fines, sanctions and other regulatory action and potentially civil litigation.</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decline significantly, even if our business is doing well.</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February 12, 2024, we had outstanding 67,782,139 shares of common stock, which may be resold in the public market immediately without restriction, unless held by our affiliates. Moreover, holders of approximately 11.8 million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7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plan to retain all of our future earnings, if any, to finance the operation, development and growth of our business. In addition, the terms of any future debt or credit agreements may preclude us from paying dividends. As a result, capital appreciation, if any, of our common stock will be your sole source of gain for the foreseeable future.</w:t>
      </w:r>
    </w:p>
    <w:p>
      <w:pPr>
        <w:spacing w:after="0" w:line="17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common stock, own a significant portion of our common stock. As a result, these stockholders acting together, could be able to significantly influence all matters submitted to our stockholders for approval, as well as our management and affairs. For example, these stockholders, if they choose to act together, could significantly influence the election of directors and approval of any merger, consolidation or sale of all or substantially all of our assets. This may prevent or discourage unsolicited acquisition proposals or offers for our common stock that our stockholders may feel are in their best interest.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110" w:name="page111"/>
    <w:bookmarkEnd w:id="110"/>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or our certificate of incorporation, and amended and restated bylaws, or our bylaws, could make a merger, tender offer or proxy contest difficult, thereby depressing the trading price of our common stock.</w:t>
      </w:r>
    </w:p>
    <w:p>
      <w:pPr>
        <w:spacing w:after="0" w:line="13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74" w:lineRule="exact"/>
        <w:rPr>
          <w:sz w:val="20"/>
          <w:szCs w:val="20"/>
          <w:color w:val="auto"/>
        </w:rPr>
      </w:pPr>
    </w:p>
    <w:p>
      <w:pPr>
        <w:ind w:left="1020" w:right="42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our control);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or any individual director may only be removed with cause and the affirmative vote of the holders of at least 66-2/3% of the voting power of all of our then-outstanding common stock;</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69"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board of directors pursuant to a resolution adopted by a majority of the total number of authorized directors; and</w:t>
      </w:r>
    </w:p>
    <w:p>
      <w:pPr>
        <w:spacing w:after="0" w:line="54" w:lineRule="exact"/>
        <w:rPr>
          <w:rFonts w:ascii="Times New Roman" w:cs="Times New Roman" w:eastAsia="Times New Roman" w:hAnsi="Times New Roman"/>
          <w:sz w:val="18"/>
          <w:szCs w:val="18"/>
          <w:color w:val="auto"/>
        </w:rPr>
      </w:pPr>
    </w:p>
    <w:p>
      <w:pPr>
        <w:ind w:left="1020" w:hanging="504"/>
        <w:spacing w:after="0" w:line="25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Court of Chancery of the State of Delaware is the sole and exclusive forum for the following types of actions or proceedings under state, statutory and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certificate of incorporation or our bylaws; (iv) any action or proceeding to interpret, apply, enforce or determine the validity of our certificate of incorporation or our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provided these provisions of our certificate of incorporation and bylaws will not apply to suits brought to enforce a duty or liability created by the Exchange Act, or any other claim for which the federal courts have exclusive jurisdiction; and provided that, unless we consent in writing to the selection of an alternative forum, to the fullest extent permitted by law, the federal district courts of the U.S. shall be the exclusive forum for the resolution of any complaint asserting a cause of action arising under the Securities Act of 1933, as amended, or the Securities Act.</w:t>
      </w:r>
    </w:p>
    <w:p>
      <w:pPr>
        <w:spacing w:after="0" w:line="19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w:t>
      </w:r>
    </w:p>
    <w:p>
      <w:pPr>
        <w:spacing w:after="0" w:line="16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11" w:name="page112"/>
    <w:bookmarkEnd w:id="111"/>
    <w:p>
      <w:pPr>
        <w:spacing w:after="0" w:line="281" w:lineRule="auto"/>
        <w:rPr>
          <w:sz w:val="20"/>
          <w:szCs w:val="20"/>
          <w:color w:val="auto"/>
        </w:rPr>
      </w:pPr>
      <w:r>
        <w:rPr>
          <w:rFonts w:ascii="Times New Roman" w:cs="Times New Roman" w:eastAsia="Times New Roman" w:hAnsi="Times New Roman"/>
          <w:sz w:val="18"/>
          <w:szCs w:val="18"/>
          <w:color w:val="auto"/>
        </w:rPr>
        <w:t>provision in its original certificate of incorporation or by amendment to its certificate of incorporation or bylaws approved by its stockholders. However, we have not opted out of this provision.</w:t>
      </w:r>
    </w:p>
    <w:p>
      <w:pPr>
        <w:spacing w:after="0" w:line="16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7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or Section 404, our management is required to assess and report annually on the effectiveness of our internal control over financial reporting and to identify any material weaknesses in our internal control over financial reporting. As a result of no longer qualifying as an emerging growth company as defined in the JOBS Act and becoming a large accelerated filer, we are also required to comply with, among other requirements, the auditor attestation requirements of Section 404(b). Preparing such attestation report and the cost of compliance with reporting requirements that we had not previously implemented has and will continue to increase our expenses and require significant management time. Investors may find our common stock less attractive because of the additional compliance costs. If some investors find our common stock less attractive as a result, there may be a less active trading market for our common stock and our stock price may be more volatile.</w:t>
      </w:r>
    </w:p>
    <w:p>
      <w:pPr>
        <w:spacing w:after="0" w:line="18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7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Our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9" w:lineRule="exact"/>
        <w:rPr>
          <w:sz w:val="20"/>
          <w:szCs w:val="20"/>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bylaws;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certificate of incorporation or our 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2" w:name="page113"/>
    <w:bookmarkEnd w:id="112"/>
    <w:p>
      <w:pPr>
        <w:ind w:left="1020" w:right="320" w:hanging="504"/>
        <w:spacing w:after="0" w:line="281"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if we are able to obtain marketing approval of any of AMX0035 or any other current or future product candidates,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our public offerings.</w:t>
      </w:r>
    </w:p>
    <w:p>
      <w:pPr>
        <w:spacing w:after="0" w:line="18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Pursuant to our 2022 Stock Option and Incentive Plan, or the 2022 Plan, our management is authorized to grant stock options to our employees, directors and consultants. Additionally, the number of shares of our common stock reserved for issuance under our 2022 Plan will automatically increase on January 1 of each year, beginning on January 1, 2023 and continuing through and including January 1, 2032, by 5.0% of the total number of shares of our capital stock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beginning on January 1, 2023 (through January 1, 2032), by the lesser of (i) 1.0% of the total number of shares of our common stock outstanding on the last day of the calendar month before the date of the automatic increase, and (ii) 1,210,000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compliance initiatives.</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and ongoing legal, accounting, and other expenses, particularly now that we are no longer an emerging growth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maintenance of effective disclosure and financial controls and changes in corporate governance practices. Further, in July 2010, the Dodd-Frank Wall Street Reform and Consumer Protection Act, or the Dodd-Frank Act, was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113" w:name="page114"/>
    <w:bookmarkEnd w:id="113"/>
    <w:p>
      <w:pPr>
        <w:ind w:right="100"/>
        <w:spacing w:after="0" w:line="260" w:lineRule="auto"/>
        <w:rPr>
          <w:sz w:val="20"/>
          <w:szCs w:val="20"/>
          <w:color w:val="auto"/>
        </w:rPr>
      </w:pPr>
      <w:r>
        <w:rPr>
          <w:rFonts w:ascii="Times New Roman" w:cs="Times New Roman" w:eastAsia="Times New Roman" w:hAnsi="Times New Roman"/>
          <w:sz w:val="18"/>
          <w:szCs w:val="18"/>
          <w:color w:val="auto"/>
        </w:rPr>
        <w:t>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Moreover, since we ceased to be an emerging growth company, we may no longer take advantage of certain exemptions from various reporting requirements that are applicable to public companies. This increase in reporting requirements will further increase our compliance burden. We expect to continue to incur substantial costs to comply with the rules and regulations applicable to public companies.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5"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Cyber-attacks or other failures in our telecommunications or IT systems, or those of our collaborators, CROs, third-party logistics providers, distributors or other contractors or consultants, could result in information theft, data corruption and significant disruption of our business operations.</w:t>
      </w:r>
    </w:p>
    <w:p>
      <w:pPr>
        <w:spacing w:after="0" w:line="13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our collaborators, our CROs, third-party logistics providers, distributors and other contractors and consultants utilize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social engineering, spamming or other means, and deliberate attacks and attempts to gain unauthorized access to computer systems and networks, have generally been increasing in frequency and sophistication. Cyber-attacks also could include phishing attempts or e-mail fraud to, for example, cause payments or information to be transmitted to an unintended recipient.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or to which they have access. Any cyber-attack, data breach, security incident or destruction, misuse,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maybe imposed and could have a material adverse effect on our business and prospects. For example, the loss of clinical trial data from completed, ongoing or future clinical trials for AMX0035 or any of our future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or incidents and may incur reputational harm and significant additional expense, including to implement further data protection or remedial measures, from fines and penalties or other liability, and from loss of existing and future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research and development credits to offset future taxable income may be subject to certain limitations.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2023, we had U.S. federal net operating loss, or NOL, carryforwards of $69.8 million that carry forward indefinitely. The amount of annual utilization of these NOL carryforwards may be limited based on provisions of the Tax Cuts and Jobs Act of 2017, or TCJA. As of December 31, 2023, we also had U.S. federal research and development tax credit carryforwards of $6.8 million and we have additionally recorded deferred tax assets for U.S. state NOL and research and development tax credit carryforwards of $9.8 million. These U.S. federal research and development tax credit and U.S. state carryforwards could begin to expire if unused in 2042 and 2035, respectively. Utilization of all NOL and research and development tax credit carryforwards is conditioned upon us generating U.S. federal and state taxable income.</w:t>
      </w:r>
    </w:p>
    <w:p>
      <w:pPr>
        <w:spacing w:after="0" w:line="18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Ownership changes occurred in the years ended December 31, 2016 and 2023. In general, under Sections 382 and 383 of the Internal Revenue Code of 1986, as amended, or the IRC, and corresponding provisions of state law, a corporation that undergoes an ownership change is subject to limitations on its ability to utilize its pre-change NOL or tax credit carryforwards to offset future taxable income. For these purposes, an ownership change generally occurs where the aggregate stock ownership of one or more stockholders or groups of stockholders who owns at least five percent of a corporation’s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14" w:name="page115"/>
    <w:bookmarkEnd w:id="114"/>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stock increases its ownership by more than 50 percentage points over its lowest ownership percentage within a specified testing period. Future changes in our stock ownership, many of which are outside of our control, could result in an ownership change under Sections 382 and 383 of the IRC. Our existing federal and state NOL and research and development tax credit carryforwards may be subject to limitations arising from these future ownership changes.</w:t>
      </w:r>
    </w:p>
    <w:p>
      <w:pPr>
        <w:spacing w:after="0" w:line="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Accordingly, we may not be able to utilize a material portion of these carryforwards. As described below, we maintain a full valuation allowance against all of our U.S. deferred tax assets. We may release all or a portion of the valuation allowance in the near-term; however, the release of the valuation allowance, as well as the exact timing and the amount of such release, continue to be subject to, among other things, our level of profitability, revenue growth, clinical program progression and expectations regarding future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subject to securities class action litigation and could be subject to additional securities class action litigation in the future.</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Such litigation could result in substantial costs and a diversion of management’s attention and resources, which could harm our business. For further information, see “Item 3. - Legal Proceedings.”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minimum bid price requirement or prevent future non-compliance with the listing requirements of the Nasdaq Global Select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stock, the price of our stock could decline.</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industry or securities analysts publish about us or our business. If one or more of the analysts who may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recognize that cybersecurity threats have been increasing in number and severity in the general marketplace and in our industry. In an effort to address these threats, we maintain a cybersecurity risk management strategy that is designed to identify, assess, and manage cybersecurity risks to our business. Our cybersecurity risk management strategy includes various policies and components, including cybersecurity assessments, an incident response plan, evaluation of the security practices of our key vendors, and cybersecurity awareness training for our staff. We also leverage third-party technology and security tools and solutions, including alerting and monitoring tools, to support our cybersecurity program.</w:t>
      </w:r>
    </w:p>
    <w:p>
      <w:pPr>
        <w:spacing w:after="0" w:line="1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We engage a third-party to conduct a cybersecurity risk assessment on an annual basis, which is informed by the National Institute of Standards and Technology (NIST) Cybersecurity Framework. We have established a process for our IT security team to track and quantify known IT security risks and our remediation efforts through a cybersecurity risk register. The IT security team meets periodically to review and update the cybersecurity risk register based on feedback across the organization and the findings contained in our NIST-informed annual cybersecurity risk assessment. The IT security team reports on findings on at least an annual basis to the executive leadership team and the board of directors.</w:t>
      </w:r>
    </w:p>
    <w:p>
      <w:pPr>
        <w:spacing w:after="0" w:line="182"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We have established a process to review and assess major software vendors’ security practices prior to onboarding, which includes review of the vendors’ responses to cybersecurity questionnaires and security audit reports and certifications, as applicable. Our process also includes contractual requirements for major vendors that process data on our behalf to maintain data protection safeguards.</w:t>
      </w:r>
    </w:p>
    <w:p>
      <w:pPr>
        <w:spacing w:after="0" w:line="177"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We maintain a security awareness training program for employees, which is provided during onboarding. We also provide additional mandatory trainings, including phishing training, throughout the year.</w:t>
      </w:r>
    </w:p>
    <w:p>
      <w:pPr>
        <w:spacing w:after="0" w:line="16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and we do not believe they are reasonably likely to materially affect, our business strategy, results of operations or financial condition, to date, we have, from time to time, experienced threats to and security incidents related to our and our third-party vendors’ information systems. For more information about the cybersecurity risks we face, see the risk factor entitled “Cyber-attacks or other failures in our telecommunications or IT systems, or those of our collaborators, CROs, third-party logistics providers, distributors or other contractors or consultants, could result in information theft, data corruption and significant disruption of our business operations” in Item 1A-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of Cybersecurity Risks</w:t>
      </w:r>
    </w:p>
    <w:p>
      <w:pPr>
        <w:spacing w:after="0" w:line="229" w:lineRule="exact"/>
        <w:rPr>
          <w:sz w:val="20"/>
          <w:szCs w:val="20"/>
          <w:color w:val="auto"/>
        </w:rPr>
      </w:pPr>
    </w:p>
    <w:p>
      <w:pPr>
        <w:ind w:right="700" w:firstLine="749"/>
        <w:spacing w:after="0" w:line="281" w:lineRule="auto"/>
        <w:rPr>
          <w:sz w:val="20"/>
          <w:szCs w:val="20"/>
          <w:color w:val="auto"/>
        </w:rPr>
      </w:pPr>
      <w:r>
        <w:rPr>
          <w:rFonts w:ascii="Times New Roman" w:cs="Times New Roman" w:eastAsia="Times New Roman" w:hAnsi="Times New Roman"/>
          <w:sz w:val="18"/>
          <w:szCs w:val="18"/>
          <w:color w:val="auto"/>
        </w:rPr>
        <w:t>Our board of directors is responsible for the general oversight of cybersecurity risks and is informed of key updates to our cybersecurity processes by our audit committee and relevant members of our executive leadership team on at least an annual basis.</w:t>
      </w:r>
    </w:p>
    <w:p>
      <w:pPr>
        <w:spacing w:after="0" w:line="163"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Our audit committee and members of our executive leadership team meet with our Head of Global Information Technology on a quarterly basis, along with other members of our IT security team from time to time, to discuss cybersecurity matters, such as the emerging cybersecurity threat landscape, significant developments to our cybersecurity processes, and our cybersecurity risk assessments.</w:t>
      </w:r>
    </w:p>
    <w:p>
      <w:pPr>
        <w:spacing w:after="0" w:line="17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IT security team, led by the Head of Global Information Security, Governance and Architecture (“Head of Global ISGA”), is responsible for managing and directing the day-to-day information security strategy of the organization, including oversight of our cybersecurity tools, controls and strategies to protect organization assets, networks and data. The Head of Global ISGA reports to our Head of Global Information Technology. The Head of Global ISGA routinely reports on cybersecurity risks, projects, and initiatives to the Head of Global Information Technology, who regularly reports to executive management and the audit committee on these matters as described above.</w:t>
      </w:r>
    </w:p>
    <w:p>
      <w:pPr>
        <w:spacing w:after="0" w:line="182"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The Head of Global ISGA maintains a Certified Information Systems Security Professionals, or CISSP, certification and has approximately two decades of IT security management experience. The IT security team is supported by external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16" w:name="page117"/>
    <w:bookmarkEnd w:id="116"/>
    <w:p>
      <w:pPr>
        <w:ind w:right="80"/>
        <w:spacing w:after="0" w:line="265" w:lineRule="auto"/>
        <w:rPr>
          <w:sz w:val="20"/>
          <w:szCs w:val="20"/>
          <w:color w:val="auto"/>
        </w:rPr>
      </w:pPr>
      <w:r>
        <w:rPr>
          <w:rFonts w:ascii="Times New Roman" w:cs="Times New Roman" w:eastAsia="Times New Roman" w:hAnsi="Times New Roman"/>
          <w:sz w:val="18"/>
          <w:szCs w:val="18"/>
          <w:color w:val="auto"/>
        </w:rPr>
        <w:t>vendors that provide managed services for network support, security operations and other IT areas as needed. Our IT security team also meets regularly with our Global Privacy Committee, which oversees our Enterprise Data Protection Program, to coordinate on cybersecurity initiatives and strategy related to protection of personal data.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Details of our principal properties as of December 31, 2023, are provided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Property Description</w:t>
            </w:r>
          </w:p>
        </w:tc>
        <w:tc>
          <w:tcPr>
            <w:tcW w:w="220" w:type="dxa"/>
            <w:vAlign w:val="bottom"/>
          </w:tcPr>
          <w:p>
            <w:pPr>
              <w:spacing w:after="0"/>
              <w:rPr>
                <w:sz w:val="13"/>
                <w:szCs w:val="13"/>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3"/>
                <w:szCs w:val="13"/>
                <w:color w:val="auto"/>
              </w:rPr>
            </w:pPr>
          </w:p>
        </w:tc>
        <w:tc>
          <w:tcPr>
            <w:tcW w:w="10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8"/>
              </w:rPr>
              <w:t>Square</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 Lease</w:t>
            </w:r>
          </w:p>
        </w:tc>
        <w:tc>
          <w:tcPr>
            <w:tcW w:w="0" w:type="dxa"/>
            <w:vAlign w:val="bottom"/>
          </w:tcPr>
          <w:p>
            <w:pPr>
              <w:spacing w:after="0"/>
              <w:rPr>
                <w:sz w:val="1"/>
                <w:szCs w:val="1"/>
                <w:color w:val="auto"/>
              </w:rPr>
            </w:pPr>
          </w:p>
        </w:tc>
      </w:tr>
      <w:tr>
        <w:trPr>
          <w:trHeight w:val="187"/>
        </w:trPr>
        <w:tc>
          <w:tcPr>
            <w:tcW w:w="2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End Date</w:t>
            </w:r>
          </w:p>
        </w:tc>
        <w:tc>
          <w:tcPr>
            <w:tcW w:w="0" w:type="dxa"/>
            <w:vAlign w:val="bottom"/>
          </w:tcPr>
          <w:p>
            <w:pPr>
              <w:spacing w:after="0"/>
              <w:rPr>
                <w:sz w:val="1"/>
                <w:szCs w:val="1"/>
                <w:color w:val="auto"/>
              </w:rPr>
            </w:pPr>
          </w:p>
        </w:tc>
      </w:tr>
      <w:tr>
        <w:trPr>
          <w:trHeight w:val="23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Cambridge, Massachusetts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3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2026</w:t>
            </w:r>
          </w:p>
        </w:tc>
        <w:tc>
          <w:tcPr>
            <w:tcW w:w="0" w:type="dxa"/>
            <w:vAlign w:val="bottom"/>
          </w:tcPr>
          <w:p>
            <w:pPr>
              <w:spacing w:after="0"/>
              <w:rPr>
                <w:sz w:val="1"/>
                <w:szCs w:val="1"/>
                <w:color w:val="auto"/>
              </w:rPr>
            </w:pP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shd w:val="clear" w:color="auto" w:fill="CFF0FC"/>
          </w:tcPr>
          <w:p>
            <w:pPr>
              <w:spacing w:after="0"/>
              <w:rPr>
                <w:sz w:val="21"/>
                <w:szCs w:val="21"/>
                <w:color w:val="auto"/>
              </w:rPr>
            </w:pPr>
          </w:p>
        </w:tc>
        <w:tc>
          <w:tcPr>
            <w:tcW w:w="2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Cambridge, Massachusetts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24,400</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that our facilities are adequate for our current needs and that suitable additional or substitute space would be available if needed.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380" w:firstLine="749"/>
        <w:spacing w:after="0" w:line="255" w:lineRule="auto"/>
        <w:rPr>
          <w:sz w:val="20"/>
          <w:szCs w:val="20"/>
          <w:color w:val="auto"/>
        </w:rPr>
      </w:pPr>
      <w:r>
        <w:rPr>
          <w:rFonts w:ascii="Times New Roman" w:cs="Times New Roman" w:eastAsia="Times New Roman" w:hAnsi="Times New Roman"/>
          <w:sz w:val="18"/>
          <w:szCs w:val="18"/>
          <w:color w:val="auto"/>
        </w:rPr>
        <w:t>On February 9, 2024, a putative class action lawsuit was filed in the U.S. District Court for the Southern District of New York against our Company and certain of our current and former officers (</w:t>
      </w:r>
      <w:r>
        <w:rPr>
          <w:rFonts w:ascii="Times New Roman" w:cs="Times New Roman" w:eastAsia="Times New Roman" w:hAnsi="Times New Roman"/>
          <w:sz w:val="18"/>
          <w:szCs w:val="18"/>
          <w:i w:val="1"/>
          <w:iCs w:val="1"/>
          <w:color w:val="auto"/>
        </w:rPr>
        <w:t>Shih v. Amylyx Pharmaceuticals, Inc., et al.</w:t>
      </w:r>
      <w:r>
        <w:rPr>
          <w:rFonts w:ascii="Times New Roman" w:cs="Times New Roman" w:eastAsia="Times New Roman" w:hAnsi="Times New Roman"/>
          <w:sz w:val="18"/>
          <w:szCs w:val="18"/>
          <w:color w:val="auto"/>
        </w:rPr>
        <w:t>, Case Number 1:24-CV-00988 (the “Shih Complaint”)). The Shih Complaint asserts a claim against all defendants for alleged violations of Section 10(b) of the Exchange Act and Rule 10b-5 promulgated thereunder and a claim under Section 20(a) against certain current and former officers as alleged controlling persons. The Shih Complaint alleges that defendants made materially false and misleading statements related to the commercial results and prospects for RELYVRIO. The Shih Complaint seeks unspecified damages, interest, costs and attorneys’ fees, and other unspecified relief that the court deems appropriate. The Company intends to defend against the Shih Complaint vigorously.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7" w:name="page118"/>
    <w:bookmarkEnd w:id="1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2" w:lineRule="exact"/>
        <w:rPr>
          <w:sz w:val="20"/>
          <w:szCs w:val="20"/>
          <w:color w:val="auto"/>
        </w:rPr>
      </w:pPr>
    </w:p>
    <w:p>
      <w:pPr>
        <w:ind w:right="1840"/>
        <w:spacing w:after="0" w:line="50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on January 7, 2022, under the symbol “AMLX.” Prior to that time, there was no public market for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As of February 12, 2024, we had approximately 21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We have never declared or paid a dividend on our common stock, and we do not anticipate declaring or paying dividends on our common stock in the foreseeable future. We currently intend to retain our future earnings, if any, to fund the development and growth of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did not purchase any of our registered equity during the period covered by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2023, we did not issue or sell any unregistered securities.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8"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for the periods indicated with the performance of the Nasdaq Composite Index and the Nasdaq Biotechnology Index. This graph assumes an investment of $100 after the market closed on January 7, 2022 in our common stock and the Nasdaq Composite Index and the Nasdaq Biotechnology Index, and assumes reinvestment of dividends, if any. The stock price performance shown on the graph below is not necessarily indicative of future stock price performance. 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129540</wp:posOffset>
            </wp:positionV>
            <wp:extent cx="5753735" cy="4777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3735" cy="477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4" w:right="4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2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consolidated financial information and the notes thereto appearing elsewhere in this Annual Report.</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and other parts of this Annual Report contain forward-looking statements that involve risks and uncertainties, such as statements of our plans, objectives, expectations and intentions.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Amylyx Pharmaceuticals, Inc. is a commercial-stage biotechnology company with a mission to end the suffering caused by neurodegenerative diseases. We have been working in ALS and neurodegenerative diseases for over a decade and have been making significant progress in transforming the treatment of these diseases.</w:t>
      </w:r>
    </w:p>
    <w:p>
      <w:pPr>
        <w:spacing w:after="0" w:line="177"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8"/>
          <w:szCs w:val="18"/>
          <w:color w:val="auto"/>
        </w:rPr>
        <w:t>Since our founding in 2013, we have transformed from a research-stage company focused on addressing the needs of patients suffering from neurodegenerative diseases to a commercial enterprise with development programs across several indications.</w:t>
      </w:r>
    </w:p>
    <w:p>
      <w:pPr>
        <w:spacing w:after="0" w:line="16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first commercial product, AMX0035 (sodium phenylbutyrate [PB] and taurursodiol [TURSO], also known as RELYVRIO in the U.S. and ALBRIOZA in Canada) is the first and only ALS therapy of which we are aware that has been shown to slow disease progression, help maintain functional independence, and extend overall survival in the same clinical trial, with a generally well-tolerated side effect profile and oral administration. AMX0035 was commercially launched as RELYVRIO in the U.S. in October 2022 and commercially launched as ALBRIOZA in Canada in July 2022. Since the launch of RELYVRIO and ALBRIOZA through December 31, 2023, we have generated net product revenue of $403.0 million. We believe AMX0035 has the potential to become a widely-used ALS medication and provides an opportunity to transform ALS from a disease for which symptom management is the standard of care to a disease with meaningful interventions. In addition, we believe AMX0035 has the potential to be a foundational therapy for neurodegenerative diseases, meaning that it could be used alone or in conjunction with other therapies to change the treatment paradigm across a broad range of neurodegenerative diseases.</w:t>
      </w:r>
    </w:p>
    <w:p>
      <w:pPr>
        <w:spacing w:after="0" w:line="186"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We are committed to bringing the benefits of AMX0035 to the more than 200,000 people living with ALS worldwide. We are building a global infrastructure to commercialize AMX0035 in additional jurisdictions where it may be approved and engaging with key stakeholders around the world to explore opportunities for access including the EU and Japan.</w:t>
      </w:r>
    </w:p>
    <w:p>
      <w:pPr>
        <w:spacing w:after="0" w:line="177"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We continue to focus on the global PHOENIX Phase 3 clinical trial of AMX0035 for the treatment of ALS, a 48-week, randomized, double-blind, placebo-controlled trial at clinical sites in the U.S. and Europe, and expect to report topline results during or before the second quarter of 2024. If the data from PHOENIX are supportive, it will be the first time that two clinical trials have demonstrated a benefit in ALS. We believe that supportive PHOENIX data will further accelerate the commercial launch of AMX0035 and the transformation of the treatment of ALS.</w:t>
      </w:r>
    </w:p>
    <w:p>
      <w:pPr>
        <w:spacing w:after="0" w:line="18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to ALS, we believe there is strong scientific rationale to use AMX0035 to treat other neurodegenerative diseases. AMX0035 was designed to slow or mitigate neurodegeneration by targeting ER stress and mitochondrial dysfunction, two connected central pathways that lead to neurodegeneration. We believe that our proprietary combination of PB and TURSO and their respective mechanisms of action will allow us to synergistically target abnormal cell death to better prevent neurodegeneration than treatment targeted at either mechanism of action alone. We are actively advancing clinical trials to evaluate AMX0035 in PSP and WS.</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Since inception, we have devoted substantially all of our efforts to research and development, pre-commercialization and commercialization activities, including recruiting management and technical staff, raising capital, producing materials for preclinical studies and clinical trials, and building infrastructure to support such activities. As of December 31, 2023, we have funded our operations primarily through public offerings of our common stock, private sales of preferred stock, convertible notes, and more recently through revenue from sales of RELYVRIO and ALBRIOZA in the U.S. and Canada, respectively.</w:t>
      </w:r>
    </w:p>
    <w:p>
      <w:pPr>
        <w:spacing w:after="0" w:line="182"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8"/>
          <w:szCs w:val="18"/>
          <w:color w:val="auto"/>
        </w:rPr>
        <w:t>Prior to 2023, we had incurred operating losses and as of December 31, 2023, we had an accumulated deficit of $304.9 million. These losses resulted primarily from costs incurred in connection with research and development activities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20" w:name="page121"/>
    <w:bookmarkEnd w:id="120"/>
    <w:p>
      <w:pPr>
        <w:ind w:right="80"/>
        <w:spacing w:after="0" w:line="254" w:lineRule="auto"/>
        <w:rPr>
          <w:sz w:val="20"/>
          <w:szCs w:val="20"/>
          <w:color w:val="auto"/>
        </w:rPr>
      </w:pPr>
      <w:r>
        <w:rPr>
          <w:rFonts w:ascii="Times New Roman" w:cs="Times New Roman" w:eastAsia="Times New Roman" w:hAnsi="Times New Roman"/>
          <w:sz w:val="18"/>
          <w:szCs w:val="18"/>
          <w:color w:val="auto"/>
        </w:rPr>
        <w:t>and selling, general and administrative costs associated with our operations. We expect to incur significant commercialization expenses related to product sales, marketing, manufacturing and distribution of our approved products. We may incur significant losses and our financial results will be highly dependent upon our successful commercialization of RELYVRIO in the U.S. We will continue to incur significant expenses as we advance AMX0035 and any other current or future product candidates through preclinical and clinical development, set up and initiate additional trials, hire additional clinical, scientific, management and administrative personnel, seek regulatory approval and pursue commercialization of any approved product candidates. To date, we have primarily developed AMX0035 and AMX0114 internally, with assistance from our network of CROs and other advisors. This has resulted in increased research and development spending but has enabled us to manage AMX0035 and AMX0114 efficiently through the development and manufacturing process.</w:t>
      </w:r>
    </w:p>
    <w:p>
      <w:pPr>
        <w:spacing w:after="0" w:line="18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We also expect to continue to incur additional costs associated with operating as a public company, including significant legal, accounting, investor relations and other expenses. As a result, we may need substantial additional funding to support our continuing operations and pursue our growth strategy. Until such time as we can generate sufficient revenue from product sales to sustain profitability, we expect to finance our operations through the sale of equity, debt financings or other capital sources, including potential collaborations with other companies, royalty financings, or other strategic transactions. Our inability to raise capital as and when needed could have a negative impact on our financial condition and ability to pursue our business strategies. There can be no assurances that our current operating plan will be achieved or that additional funding, if required, will be available on terms acceptable to us, or at all.</w:t>
      </w:r>
    </w:p>
    <w:p>
      <w:pPr>
        <w:spacing w:after="0" w:line="187" w:lineRule="exact"/>
        <w:rPr>
          <w:sz w:val="20"/>
          <w:szCs w:val="20"/>
          <w:color w:val="auto"/>
        </w:rPr>
      </w:pPr>
    </w:p>
    <w:p>
      <w:pPr>
        <w:jc w:val="both"/>
        <w:ind w:right="80" w:firstLine="749"/>
        <w:spacing w:after="0" w:line="280" w:lineRule="auto"/>
        <w:rPr>
          <w:sz w:val="20"/>
          <w:szCs w:val="20"/>
          <w:color w:val="auto"/>
        </w:rPr>
      </w:pPr>
      <w:r>
        <w:rPr>
          <w:rFonts w:ascii="Times New Roman" w:cs="Times New Roman" w:eastAsia="Times New Roman" w:hAnsi="Times New Roman"/>
          <w:sz w:val="17"/>
          <w:szCs w:val="17"/>
          <w:color w:val="auto"/>
        </w:rPr>
        <w:t>As of December 31, 2023, we had cash, cash equivalents and short-term investments of $371.4 million. We believe that the revenue we generate from commercial sales of AMX0035 in the U.S. and Canada and our existing cash, cash equivalents and short-term investments as of December 31, 2023, will be sufficient to meet our anticipated operating and capital expenditure requirements for at least one year from the date of this Annual Report. We have based this estimate on assumptions that may prove to be wrong, and we could exhaust our available capital resources sooner than we expect.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Factors</w:t>
      </w:r>
    </w:p>
    <w:p>
      <w:pPr>
        <w:spacing w:after="0" w:line="22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development of AMX0035 and any future product candidates could be disrupted and materially adversely affected in the future by any pandemic or calamity. In addition, economic uncertainty in various global markets, including in the U.S., Europe and the Middle East, caused by political instability and conflict, such as the ongoing conflicts in Ukraine and Israel, and economic challenges caused by global pandemics or other public health events, have led to market disruptions, including significant volatility in commodity prices, credit and capital market instability and supply chain interruptions, which have caused record inflation globally. Our business, financial condition and results of operations could be materially and adversely affected by further negative impact on the global economy and capital markets resulting from these global economic conditions, particularly if such conditions are prolonged or worsen.</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and effects of the Russian sanctions, the conflict in Israel, geopolitical tensions, record inflation or otherwise, are impossible to predict, but could be substantial. Any such disruptions may also magnify the impact of other risks described in this report.</w:t>
      </w:r>
    </w:p>
    <w:p>
      <w:pPr>
        <w:spacing w:after="0" w:line="182"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global economic uncertainty, please read the section entitled “Risk Factors”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In June 2022, AMX0035 received marketing authorization with conditions as ALBRIOZA by Health Canada for the treatment of ALS, and we began commercially selling ALBRIOZA within Canada in July 2022. In September 2022, AMX0035 received regulatory approval as RELYVRIO by the FDA for the treatment of ALS, and we launched RELYVRIO in the U.S. in October 2022. Product revenue, net recognized during the period relates primarily to units of ALBRIOZA and RELYVRIO sold in Canada and the U.S., respectively.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RELYVRIO, ALBRIOZA and certain period costs, which include:</w:t>
      </w:r>
    </w:p>
    <w:p>
      <w:pPr>
        <w:spacing w:after="0" w:line="117" w:lineRule="exact"/>
        <w:rPr>
          <w:sz w:val="20"/>
          <w:szCs w:val="20"/>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materials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manufacturing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overhead costs; and</w:t>
      </w:r>
    </w:p>
    <w:p>
      <w:pPr>
        <w:spacing w:after="0" w:line="116" w:lineRule="exact"/>
        <w:rPr>
          <w:rFonts w:ascii="Times New Roman" w:cs="Times New Roman" w:eastAsia="Times New Roman" w:hAnsi="Times New Roman"/>
          <w:sz w:val="18"/>
          <w:szCs w:val="18"/>
          <w:color w:val="auto"/>
        </w:rPr>
      </w:pPr>
    </w:p>
    <w:p>
      <w:pPr>
        <w:jc w:val="both"/>
        <w:ind w:left="1020" w:hanging="504"/>
        <w:spacing w:after="0" w:line="312"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Royalties related to grants provided to us for the purpose of furthering the research and development of AMX0035 as a therapeutic benefit for ALS and AD. For additional information refer to Note 18 to our consolidated financial statements appearing at the end of this Annual Report.</w:t>
      </w:r>
    </w:p>
    <w:p>
      <w:pPr>
        <w:spacing w:after="0" w:line="139"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As a result of global macroeconomic conditions, we may experience some disruption and volatility in our global supply chain network, and we may in the future experience disruptions in availability and delays in shipments of raw materials and packaging, as well as related cost inflation.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AMX0035. We expense research and development costs as incurred. These expenses include:</w:t>
      </w:r>
    </w:p>
    <w:p>
      <w:pPr>
        <w:spacing w:after="0" w:line="55" w:lineRule="exact"/>
        <w:rPr>
          <w:sz w:val="20"/>
          <w:szCs w:val="20"/>
          <w:color w:val="auto"/>
        </w:rPr>
      </w:pPr>
    </w:p>
    <w:p>
      <w:pPr>
        <w:ind w:left="1020" w:right="800" w:hanging="504"/>
        <w:spacing w:after="0" w:line="28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contract manufacturing organizations, or CMOs, as well as investigative sites and consultants that conduct our clinical trials, preclinical studies and other scientific development services;</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drug product for our preclinical studies and clinical trials, including manufacturing registration and validation batches, as well as pre-commercial manufacturing activities;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acquire technologies to be used in research and development;</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payroll taxes, related benefits and stock-based compensation expense for employees engaged in research and development functions;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225"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Certain of our indirect research and development expenses are not tracked on an indication-by-indication basis for AMX0035. We do not allocate employee costs and facilities, including depreciation or other indirect costs, to specific indications because these costs are deployed across multiple indications and, as such, are not separately classified. We use internal resources to oversee the research and discovery as well as to manage our preclinical development, process development, manufacturing and clinical development activities. These employees work across multiple indications and, therefore, we do not track their costs by indication.</w:t>
      </w:r>
    </w:p>
    <w:p>
      <w:pPr>
        <w:spacing w:after="0" w:line="18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such as AMX0035 in later stages of clinical development generally have higher development costs than those in earlier stages of clinical development, such as AMX0114, primarily due to the increased size and duration of later-stage clinical trials and related product manufacturing expenses. We expect that our research and development expenses will continue to increase in connection with our planned clinical development activities in the near term and in the future and to fund commercialization activities in the U.S., Canada and any other jurisdictions in which AMX0035 is approved. At this time, we cannot accurately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22" w:name="page123"/>
    <w:bookmarkEnd w:id="122"/>
    <w:p>
      <w:pPr>
        <w:spacing w:after="0" w:line="281" w:lineRule="auto"/>
        <w:rPr>
          <w:sz w:val="20"/>
          <w:szCs w:val="20"/>
          <w:color w:val="auto"/>
        </w:rPr>
      </w:pPr>
      <w:r>
        <w:rPr>
          <w:rFonts w:ascii="Times New Roman" w:cs="Times New Roman" w:eastAsia="Times New Roman" w:hAnsi="Times New Roman"/>
          <w:sz w:val="18"/>
          <w:szCs w:val="18"/>
          <w:color w:val="auto"/>
        </w:rPr>
        <w:t>estimate or know the nature, timing and costs of the efforts that will be necessary to complete the clinical development of AMX0035 and any future product candidates. Our clinical development costs may vary significantly based on factors such as:</w:t>
      </w:r>
    </w:p>
    <w:p>
      <w:pPr>
        <w:spacing w:after="0" w:line="55" w:lineRule="exact"/>
        <w:rPr>
          <w:sz w:val="20"/>
          <w:szCs w:val="20"/>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 periods;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current or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current or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from clinical trials and preclinical studies of our current or future product candidates;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are developing.</w:t>
      </w:r>
    </w:p>
    <w:p>
      <w:pPr>
        <w:spacing w:after="0" w:line="225"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The successful development and commercialization of AMX0035 and any other current or future product candidates is highly uncertain, due to the numerous risks and uncertainties associated with product development and commercialization, including the following:</w:t>
      </w:r>
    </w:p>
    <w:p>
      <w:pPr>
        <w:spacing w:after="0" w:line="55" w:lineRule="exact"/>
        <w:rPr>
          <w:sz w:val="20"/>
          <w:szCs w:val="20"/>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trials for separate indications we decide to pursue;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if necessary;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activities and to establish new ones;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Health Canada, the FDA or the EMA, or any other comparable foreign regulatory authority;</w:t>
      </w:r>
    </w:p>
    <w:p>
      <w:pPr>
        <w:spacing w:after="0" w:line="54" w:lineRule="exact"/>
        <w:rPr>
          <w:rFonts w:ascii="Times New Roman" w:cs="Times New Roman" w:eastAsia="Times New Roman" w:hAnsi="Times New Roman"/>
          <w:sz w:val="18"/>
          <w:szCs w:val="18"/>
          <w:color w:val="auto"/>
        </w:rPr>
      </w:pPr>
    </w:p>
    <w:p>
      <w:pPr>
        <w:ind w:left="1020" w:right="240" w:hanging="504"/>
        <w:spacing w:after="0" w:line="260"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and compliance with the terms of regulatory approvals from applicable regulatory authorities, including our marketing authorization with conditions from Health Canada for ALBRIOZA and the post-marketing requirements from the FDA for</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RELYVRIO;</w:t>
      </w:r>
    </w:p>
    <w:p>
      <w:pPr>
        <w:spacing w:after="0" w:line="98"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receipt and related terms of regulatory approval for AMX0035 for the treatment of ALS, if approved in the future by the European Commission;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AMX0035;</w:t>
      </w:r>
    </w:p>
    <w:p>
      <w:pPr>
        <w:spacing w:after="0" w:line="116" w:lineRule="exact"/>
        <w:rPr>
          <w:rFonts w:ascii="Times New Roman" w:cs="Times New Roman" w:eastAsia="Times New Roman" w:hAnsi="Times New Roman"/>
          <w:sz w:val="18"/>
          <w:szCs w:val="18"/>
          <w:color w:val="auto"/>
        </w:rPr>
      </w:pPr>
    </w:p>
    <w:p>
      <w:pPr>
        <w:ind w:left="1020" w:right="960" w:hanging="504"/>
        <w:spacing w:after="0" w:line="28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clinical supply for our clinical trials and commercial manufacturing;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U.S. and internationally;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23" w:name="page124"/>
    <w:bookmarkEnd w:id="123"/>
    <w:p>
      <w:pPr>
        <w:ind w:left="1020" w:right="120" w:hanging="504"/>
        <w:spacing w:after="0" w:line="28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ALBRIOZA in Canada and RELYVRIO in the U.S. of AMX0035 in other potential jurisdictions, if and when approved;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and product candidates, if approved,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in pre-approval market access programs or in commercial access following approval.</w:t>
      </w:r>
    </w:p>
    <w:p>
      <w:pPr>
        <w:spacing w:after="0" w:line="225"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AMX0035 or any future product candidates could have a significant impact on the cost and timing associated with the development of our product candidates. We may never succeed in obtaining or maintaining, as applicable, regulatory approval for AMX0035 or any future product candidates.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sales, marketing, as well as administrative functions. Selling, general and administrative expenses also include legal fees relating to patent and corporate matters; professional fees for accounting, auditing, tax and administrative consulting services; corporate insurance costs; administrative travel expenses; sales and marketing expenses; information technology; charitable donations to independent charitable foundations; facility-related and other operating costs. We anticipate that our selling, general and administrative expenses will continue to increase in the future as we further increase our headcount to support our continued research activities and development of AMX0035 and as we commercialize AMX0035. We also anticipate that we will continue to incur increased accounting, audit, legal, regulatory, compliance, and director and officer insurance costs as well as investor and public relations expenses associated with being a public company. We have received marketing authorization with conditions for ALBRIOZA for the treatment of ALS in Canada and marketing authorization for RELYVRIO for the treatment of ALS in adults in the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Interest income consists primarily of the amortization of premiums and accretion of discounts on our short-term investments, and interest income earned on our cash, cash equivalents and short-term investments.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expense, net consists primarily of net realized and unrealized losses on foreign exchange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Income taxes are determined using the asset and liability approach. Deferred tax assets and liabilities represent future tax consequences of temporary differences between the financial statement carrying amounts and the tax basis of assets and liabilities and for tax attribute carryforwards using enacted tax rates expected to be in effect in the years in which the differences reverse.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During 2023, a portion of our valuation allowance has been reversed with respect to amounts we realized through current year U.S. federal and state taxable income. We continue to maintain a full valuation allowance against all of our U.S. deferred tax assets as of December 31, 2023 based on management’s evaluation of all available evidence, including our history of incurring significant losses from operations. Our evaluation of all available evidence also includes consideration of regulatory approvals of and developments related to ALBRIOZA and RELYVRIO, including actual and forecasted revenues generated from the sale of these products. Given the early stage of our product commercialization, we are uncertain about the timing and amount of future sales. We may release all or a portion of the remaining valuation allowance in the near-term; however, the release of the valuation allowance, as well as the exact timing and the amount of such release, continue to be subject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among other things, our level of profitability, revenue growth, clinical program progression and expectations regarding future profitability.</w:t>
      </w:r>
    </w:p>
    <w:p>
      <w:pPr>
        <w:spacing w:after="0" w:line="225" w:lineRule="exact"/>
        <w:rPr>
          <w:sz w:val="20"/>
          <w:szCs w:val="20"/>
          <w:color w:val="auto"/>
        </w:rPr>
      </w:pPr>
    </w:p>
    <w:p>
      <w:pPr>
        <w:ind w:firstLine="749"/>
        <w:spacing w:after="0" w:line="276" w:lineRule="auto"/>
        <w:rPr>
          <w:sz w:val="20"/>
          <w:szCs w:val="20"/>
          <w:color w:val="auto"/>
        </w:rPr>
      </w:pPr>
      <w:r>
        <w:rPr>
          <w:rFonts w:ascii="Times New Roman" w:cs="Times New Roman" w:eastAsia="Times New Roman" w:hAnsi="Times New Roman"/>
          <w:sz w:val="17"/>
          <w:szCs w:val="17"/>
          <w:color w:val="auto"/>
        </w:rPr>
        <w:t>As of December 31, 2023 and 2022, we had NOL carryforwards of approximately $69.8 million and $203.2 million, respectively, and state NOL carryforwards of approximately $124.6 million and $164.1 million, respectively, which are available to reduce future taxable income. All U.S. federal NOL carryforwards as of December 31, 2023 carry forward indefinitely. Of the $124.6 million state net operating loss carryforwards, $82.8 million relate to Massachusetts and begin to expire in 2035. As of December 31, 2023 and 2022, we also had federal tax credits of $6.8 million and $4.6 million, respectively, and state tax credits of $1.6 million and $1.2 million, respectively. The tax credit carryforwards will expire at various dates beginning in 2035.</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380,786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358,556</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1613 %</w:t>
            </w:r>
          </w:p>
        </w:tc>
        <w:tc>
          <w:tcPr>
            <w:tcW w:w="0" w:type="dxa"/>
            <w:vAlign w:val="bottom"/>
          </w:tcPr>
          <w:p>
            <w:pPr>
              <w:spacing w:after="0"/>
              <w:rPr>
                <w:sz w:val="1"/>
                <w:szCs w:val="1"/>
                <w:color w:val="auto"/>
              </w:rPr>
            </w:pP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188,356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61,228</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7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118,413</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(201,341 )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240,143</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(660 )</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(551 )</w:t>
            </w:r>
          </w:p>
        </w:tc>
        <w:tc>
          <w:tcPr>
            <w:tcW w:w="1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(109 )</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7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2"/>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7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(197,601 )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251,898</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780" w:type="dxa"/>
            <w:vAlign w:val="bottom"/>
            <w:gridSpan w:val="2"/>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(198,375 )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247,646</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0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-2328545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-2019935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-1711960</wp:posOffset>
            </wp:positionV>
            <wp:extent cx="713232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13232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713232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began commercially selling ALBRIOZA within Canada in July 2022 and RELYVRIO within the U.S. in October 2022. For the years ended December 31, 2023 and 2022, we recorded approximately $380.8 million and $22.2 million of product revenue, net, respectively. The increase is primarily related to RELYVRIO and ALBRIOZA being sold for the entirety of 2023 compared to the majority being sold in the fourth quarter in 2022. For further discussion regarding our revenue recognition policy, see Note 2, Summary of Significant Accounting Policies, in the Notes to the consolidated financial statements included this Annual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Cost of sales were $25.4 million for the year ended December 31, 2023, compared to $3.0 million for the year ended December 31, 2022. During these periods, cost of sales consisted of costs to procure, manufacture and distribute our marketed products, RELYVRIO and ALBRIOZA. In addition, included in cost of sales are costs to manufacture our marketed products, which have been provided to certain patients at no cost to them through either our interim access or patient assistance programs. Drug product given to patients at no cost to them is not included in product revenue, net. Based on our policy to expense costs associated with the manufacture of our products prior to regulatory approval, certain of the costs of units recognized as revenue during the years ended December 31, 2023 and 2022, or approximately $11.2 million and $3.4 million, respectively, were expensed prior to obtaining regulatory approvals and, therefore, are not included in cost of sales during these periods. We expect cost of sales to increase and gross margin to decrease as we deplete these inventories. We expect to use the remaining pre-commercialization inventory for product sales in the second quarter of 2024.</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AMX0035 – 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64,987</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AMX0035 – PSP</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5,809 %</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personnel-related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44,734</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2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57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128,187</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were $128.2 million for the year ended December 31, 2023, compared to $93.5 million for the year ended December 31, 2022. During these periods, most of our research and development expenses were related to the development and clinical trials of AMX0035. The increase of $34.7 million was primarily due to a $16.2 million increase in payroll and personnel-related costs, which includes a $4.2 million increase in stock-based compensation, a $5.4 million increase in spending on AMX0035 for the treatment of PSP, a $4.3 million increase in spending on AMX0035 for the treatment of ALS and a $8.8 million increase in all other costs. The increase in payroll and personnel-related costs was primarily due to an increase in the number of employees supporting research and development efforts. The increase in spending on AMX0035 for the treatment of PSP was primarily related to costs to support the initiation of the ORION Phase 3 trial. The increase in spending on AMX0035 for ALS was primarily related to costs associated with our global Phase 3 PHOENIX trial, including its open label extension phase and the increase in other costs were primarily due to an increase in preclinical development activities. We expect to increase research and development for AMX0035 in other indications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$188.4 million for the year ended December 31, 2023 compared to $127.1 million for the year ended December 31, 2022. The increase of $61.2 million was primarily due to increases of $30.2 million in payroll and personnel-related costs, which includes an $11.2 million increase in stock-based compensation, $16.1 million in consulting and professional services and $14.9 million in other expenses. The increase in payroll and personnel-related costs was primarily due to hiring additional personnel in commercial and general and administrative functions to support our growth, as well as commercialization preparation initiatives in the EU. The increases in consulting and professional services and other expenses were primarily due to an increase in spending for commercial activities, operations as a public company, and other expenses.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60" w:firstLine="749"/>
        <w:spacing w:after="0" w:line="265" w:lineRule="auto"/>
        <w:rPr>
          <w:sz w:val="20"/>
          <w:szCs w:val="20"/>
          <w:color w:val="auto"/>
        </w:rPr>
      </w:pPr>
      <w:r>
        <w:rPr>
          <w:rFonts w:ascii="Times New Roman" w:cs="Times New Roman" w:eastAsia="Times New Roman" w:hAnsi="Times New Roman"/>
          <w:sz w:val="18"/>
          <w:szCs w:val="18"/>
          <w:color w:val="auto"/>
        </w:rPr>
        <w:t>Interest income for the year ended December 31, 2023 was $16.2 million compared to $4.3 million for the year ended December 31, 2022. The increase was primarily attributable to favorable interest rates and higher short-term investment and cash equivalent balances driven by the proceeds received from our 2022 follow-on offering and cash receipts from sales of AMX0035.</w:t>
      </w:r>
    </w:p>
    <w:p>
      <w:pPr>
        <w:spacing w:after="0" w:line="2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$5.0 million and $0.8 million for the years ended December 31, 2023 and 2022, respectively. The income tax provision for the year ending December 31, 2023 includes the release of a portion of our valuation allowance with respect to amounts expected to be realized through current year U.S. federal and state taxable income. Current year U.S. federal and state taxable income is significantly impacted by a TCJA tax law change in effect from January 1, 2022 that requires capitalization and amortization of all research and experimentation costs under Section 174 of the IRC.</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4" w:right="2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both"/>
        <w:ind w:right="300" w:firstLine="749"/>
        <w:spacing w:after="0" w:line="260" w:lineRule="auto"/>
        <w:rPr>
          <w:sz w:val="20"/>
          <w:szCs w:val="20"/>
          <w:color w:val="auto"/>
        </w:rPr>
      </w:pPr>
      <w:r>
        <w:rPr>
          <w:rFonts w:ascii="Times New Roman" w:cs="Times New Roman" w:eastAsia="Times New Roman" w:hAnsi="Times New Roman"/>
          <w:sz w:val="18"/>
          <w:szCs w:val="18"/>
          <w:color w:val="auto"/>
        </w:rPr>
        <w:t>In the second half of 2022, we began generating revenue from the sale of our approved drug product RELYVRIO, known as ALBRIOZA in Canada. To date, we have financed our operations primarily through revenue from the sale of our approved products, the sale and issuance of common stock, convertible preferred stock and convertible notes. As of December 31, 2023, we had cash, cash equivalents and short-term investments of $371.4 million.</w:t>
      </w:r>
    </w:p>
    <w:p>
      <w:pPr>
        <w:spacing w:after="0" w:line="182"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From inception through December 31, 2023, we have raised $669.3 million in aggregate proceeds, net of issuance costs, primarily from the issuance of common stock, convertible preferred stock, convertible notes and grant agreements. Based on our current operational plans and assumptions, we believe that the revenue we generate from commercial sales of AMX0035 in the U.S. and Canada and our existing cash, cash equivalents, and short-term investments, will be sufficient to meet our anticipated operating and capital expenditure requirements for at least twelve months after the date of the filing of this Annual Report. We have based these estimates on assumptions that may prove to be wrong, and we could utilize our available capital resources sooner than we expect.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advance the preclinical activities, manufacturing and clinical trials of AMX0035 and any other current or future product candidates, execute on our commercialization plans for ALBRIOZA in Canada and RELYVRIO in the U.S., and prepare for the commercial launch of AMX0035 in other jurisdictions, if approved. In addition, we expect to incur additional costs associated with operating as a public company, including significant legal, accounting, investor relations and other expenses. Because we no longer qualify as an emerging growth company as defined in the JOBS Act and we are now considered a large accelerated filer, we are no longer entitled to rely on exemptions from certain compliance requirements that are applicable to companies that are emerging growth companies including, among other requirements, the auditor attestation requirements of Section 404(b) and reduced reporting requirements. Our expenses will also increase as we:</w:t>
      </w:r>
    </w:p>
    <w:p>
      <w:pPr>
        <w:spacing w:after="0" w:line="67" w:lineRule="exact"/>
        <w:rPr>
          <w:sz w:val="20"/>
          <w:szCs w:val="20"/>
          <w:color w:val="auto"/>
        </w:rPr>
      </w:pPr>
    </w:p>
    <w:p>
      <w:pPr>
        <w:ind w:left="1020" w:right="340" w:hanging="504"/>
        <w:spacing w:after="0" w:line="28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including our ongoing Phase 3 trial of AMX0035 in PSP and our ongoing Phase 2 trial of AMX0035 for the treatment of 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AMX0114, antisense oligonucleotide, for the treatment of people living ALS;</w:t>
      </w:r>
    </w:p>
    <w:p>
      <w:pPr>
        <w:spacing w:after="0" w:line="116"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AMX0035 (also known as ALBRIOZA in Canada and RELYVRIO in the U.S.) for the treatment of ALS in Canada and the U.S., and pursue launch of AMX0035 in other jurisdictions, if approved;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INDs of AMX0035 for additional indications;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AMX0035 for additional indications and for potential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acquire or in-license additional product candidates;</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obtain additional marketing approval for AMX0035 or approval for any future product candidates and to support manufacturing on a commercial scale;</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regulatory approvals for AMX0035 or approvals for any future product candidates that successfully complete clinical trials, if any;</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preclinical, clinical, quality assurance, regulatory affairs, manufacturing, distribution, legal, compliance, finance, general and administrative, commercial and scientific personnel;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28" w:name="page129"/>
    <w:bookmarkEnd w:id="128"/>
    <w:p>
      <w:pPr>
        <w:ind w:right="420" w:firstLine="749"/>
        <w:spacing w:after="0" w:line="26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and programs, we are unable to estimate the exact amount of our working capital requirements. Our future funding requirements will depend on and could increase significantly as a result of many factors, including:</w:t>
      </w:r>
    </w:p>
    <w:p>
      <w:pPr>
        <w:spacing w:after="0" w:line="69" w:lineRule="exact"/>
        <w:rPr>
          <w:sz w:val="20"/>
          <w:szCs w:val="20"/>
          <w:color w:val="auto"/>
        </w:rPr>
      </w:pPr>
    </w:p>
    <w:p>
      <w:pPr>
        <w:ind w:left="1020" w:right="4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and clinical development for AMX0035 and any future product candidates;</w:t>
      </w:r>
    </w:p>
    <w:p>
      <w:pPr>
        <w:spacing w:after="0" w:line="54" w:lineRule="exact"/>
        <w:rPr>
          <w:rFonts w:ascii="Times New Roman" w:cs="Times New Roman" w:eastAsia="Times New Roman" w:hAnsi="Times New Roman"/>
          <w:sz w:val="18"/>
          <w:szCs w:val="18"/>
          <w:color w:val="auto"/>
        </w:rPr>
      </w:pPr>
    </w:p>
    <w:p>
      <w:pPr>
        <w:jc w:val="both"/>
        <w:ind w:left="1020" w:right="220" w:hanging="504"/>
        <w:spacing w:after="0" w:line="265"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commercialization activities, including manufacturing, marketing, sales and distribution for AMX0035 in the U.S. and Canada, and, if approved, in the EU and other territories or for any future product candidates for which we receive regulatory approval;</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AMX0035 and any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marketing, distribution and license agreements on favorable terms, if at all;</w:t>
      </w:r>
    </w:p>
    <w:p>
      <w:pPr>
        <w:spacing w:after="0" w:line="116"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activities;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delays with respect to preclinical and clinical development of AMX0035 and any future product candidates, including as result of any future outbreak of any highly infectious or contagious diseases;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facilities to accommodate our expected growth in personnel, and the costs of such additional personnel;</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technologies or other assets;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AMX0035 and any future product candidates, if and when approved;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sustain profitability, we may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common stock, convertible securities or other equity securities, current ownership interests will be diluted. 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(179,871 )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191,790</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(238,988 )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331,041</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431,789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(428,246 )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9"/>
                <w:szCs w:val="19"/>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34"/>
        </w:trPr>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restricted cash equivalents</w:t>
            </w: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gridSpan w:val="2"/>
            <w:vMerge w:val="continue"/>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107,675</w:t>
            </w:r>
          </w:p>
        </w:tc>
        <w:tc>
          <w:tcPr>
            <w:tcW w:w="26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2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94,810</w:t>
            </w:r>
          </w:p>
        </w:tc>
        <w:tc>
          <w:tcPr>
            <w:tcW w:w="220" w:type="dxa"/>
            <w:vAlign w:val="bottom"/>
          </w:tcPr>
          <w:p>
            <w:pPr>
              <w:spacing w:after="0"/>
              <w:rPr>
                <w:sz w:val="17"/>
                <w:szCs w:val="17"/>
                <w:color w:val="auto"/>
              </w:rPr>
            </w:pPr>
          </w:p>
        </w:tc>
        <w:tc>
          <w:tcPr>
            <w:tcW w:w="1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737 %</w:t>
            </w:r>
          </w:p>
        </w:tc>
        <w:tc>
          <w:tcPr>
            <w:tcW w:w="0" w:type="dxa"/>
            <w:vAlign w:val="bottom"/>
          </w:tcPr>
          <w:p>
            <w:pPr>
              <w:spacing w:after="0"/>
              <w:rPr>
                <w:sz w:val="1"/>
                <w:szCs w:val="1"/>
                <w:color w:val="auto"/>
              </w:rPr>
            </w:pPr>
          </w:p>
        </w:tc>
      </w:tr>
      <w:tr>
        <w:trPr>
          <w:trHeight w:val="207"/>
        </w:trPr>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290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provided $11.9 million of cash, primarily resulting from our net income of $49.3 million, non-cash stock-based compensation expense of $37.2 million and $1.1 million of depreciation expense, offset by an increase of $65.7 million in net cash used in our operating assets and liabilities and net amortization of premiums and discounts on investments of $9.9 million.</w:t>
      </w:r>
    </w:p>
    <w:p>
      <w:pPr>
        <w:spacing w:after="0" w:line="177"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Net cash used in our operating assets and liabilities primarily consisted of a $21.6 million increase in accrued expenses, a $15.9 million increase in accounts payable and a $1.8 million decrease in operating lease right-of-use assets. This was offset by a $73.1 million increase in inventories, a $24.7 million increase in accounts receivable, a $4.8 million increase in prepaid expenses and other current assets and a $2.0 million decrease in operating lease liabilities.</w:t>
      </w:r>
    </w:p>
    <w:p>
      <w:pPr>
        <w:spacing w:after="0" w:line="182" w:lineRule="exact"/>
        <w:rPr>
          <w:sz w:val="20"/>
          <w:szCs w:val="20"/>
          <w:color w:val="auto"/>
        </w:rPr>
      </w:pPr>
    </w:p>
    <w:p>
      <w:pPr>
        <w:ind w:right="500" w:firstLine="749"/>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$179.9 million of cash, primarily resulting from our net loss of $198.4 million and net amortization of premiums and discounts on investments of $2.1 million, offset by $21.7 million of non-cash stock-based compensation expense, $0.5 million of depreciation expense and a $1.6 million increase in net cash used in our operating assets and liabilities.</w:t>
      </w:r>
    </w:p>
    <w:p>
      <w:pPr>
        <w:spacing w:after="0" w:line="177"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Net cash used in our operating assets and liabilities primarily consisted of a $26.1 million increase in accrued expenses and deferred rent due to increased spending for external research and development to support our growth, a $1.9 million increase in accounts payable and a $0.5 million decrease in interest receivable from short-term investments. This was offset by a $15.3 million increase in accounts receivable, a $9.8 million increase in inventories, a $0.5 million increase in other assets and a $5.2 million increase in prepaid expenses and other current assets.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620" w:firstLine="749"/>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investing activities was $92.1 million resulting from $394.1 million of investments matured during the period offset by $300.8 million in purchases of short-term investments and $1.2 million in purchases of property and equipment.</w:t>
      </w:r>
    </w:p>
    <w:p>
      <w:pPr>
        <w:spacing w:after="0" w:line="177" w:lineRule="exact"/>
        <w:rPr>
          <w:sz w:val="20"/>
          <w:szCs w:val="20"/>
          <w:color w:val="auto"/>
        </w:rPr>
      </w:pPr>
    </w:p>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2022, net cash used in investing activities was $239.0 million, resulting from $2.5 million in purchases of property and equipment and $415.9 million in purchases of short-term investments, offset by $179.4 million of investments matured during the period.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20" w:firstLine="749"/>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$3.5 million. This amount consisted of $7.0 million of proceeds from exercises of stock options, offset by $3.3 million of withholding taxes paid on stock-based awards and $0.1 million in payments of deferred offering costs.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2" w:right="239" w:bottom="1440" w:gutter="0" w:footer="0" w:header="0"/>
        </w:sectPr>
      </w:pPr>
    </w:p>
    <w:bookmarkStart w:id="130" w:name="page131"/>
    <w:bookmarkEnd w:id="130"/>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$431.8 million. This amount consisted of $200.9 million of proceeds from our initial public offering, or IPO, net of underwriter’s discounts and commissions, $231.6 million of proceeds from our 2022 follow-on offering, net of underwriter’s discounts and commissions, and $2.2 million of proceeds from exercises of stock options, offset by $2.8 million in payments of deferred offering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w:t>
      </w:r>
      <w:r>
        <w:rPr>
          <w:rFonts w:ascii="Times New Roman" w:cs="Times New Roman" w:eastAsia="Times New Roman" w:hAnsi="Times New Roman"/>
          <w:sz w:val="18"/>
          <w:szCs w:val="18"/>
          <w:color w:val="auto"/>
        </w:rPr>
        <w:t>s</w:t>
      </w:r>
    </w:p>
    <w:p>
      <w:pPr>
        <w:spacing w:after="0" w:line="227" w:lineRule="exact"/>
        <w:rPr>
          <w:sz w:val="20"/>
          <w:szCs w:val="20"/>
          <w:color w:val="auto"/>
        </w:rPr>
      </w:pPr>
    </w:p>
    <w:p>
      <w:pPr>
        <w:ind w:right="600" w:firstLine="749"/>
        <w:spacing w:after="0" w:line="265"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contract manufacturing organizations for raw material purchases and manufacturing services. As of December 31, 2023, we had committed approximately $195.0 million under these agreements related to raw material purchases and manufacturing services, which are expected to be paid through 2028.</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6"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we believe that the following accounting policies are those most critical to the judgments and estimates used in the preparation of our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Our accounting policy for revenue recognition has a substantial impact on reported results and relies on certain estimates. Revenue is recognized following a five-step model under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Revenue is also reduced by variable consideration related to certain gross-to-net, or GTN, adjustments discussed below. These GTN adjustments involve significant estimates and judgment after considering historical experience, payer channel mix (e.g., Medicare or Medicaid), current contract prices under applicable programs, unbilled claims and processing time lags and inventory levels in the distribution channel. Estimates are assessed each period and adjusted as required to revise information or actual experience. In accordance with Topic 606, we recognize revenue on product sales when the customer obtains control of our product, which occurs at a point in time (upon delivery). Product revenues are recorded net of applicable GTN adjustments, including discounts and allowances. Payment from customers is typically due within 30 calendar days of the invoice date.</w:t>
      </w:r>
    </w:p>
    <w:p>
      <w:pPr>
        <w:spacing w:after="0" w:line="189"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We will adjust our GTN estimates based on new information, including information regarding actual activity, as it becomes available. To date, actual GTN activity has not differed materially from our estimates. The following categories of GTN adjustments involve significant estimates, judgments and information obtained from external sources.</w:t>
      </w:r>
    </w:p>
    <w:p>
      <w:pPr>
        <w:spacing w:after="0" w:line="2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Provider Chargebacks and Discounts</w:t>
      </w:r>
    </w:p>
    <w:p>
      <w:pPr>
        <w:spacing w:after="0" w:line="227"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7"/>
          <w:szCs w:val="17"/>
          <w:color w:val="auto"/>
        </w:rPr>
        <w:t>We participate in programs with government entities such as the U.S. Department of Veterans Affairs, and other parties, including covered entities under the 340B Drug Pricing Program, whereby pricing on products is extended below wholesaler list price to participating entities. These entities purchase products through wholesalers at the lower program price and the wholesalers then charge us the difference between their acquisition cost and the lower program price. Product revenue and accounts receivable is reduced for the estimated amount of unprocessed charge-back claims attributable to a sale.</w:t>
      </w:r>
    </w:p>
    <w:p>
      <w:pPr>
        <w:spacing w:after="0" w:line="382"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Customers are offered cash discounts as an incentive for prompt payment. Product revenue and accounts receivable is reduced for the estimated amount of cash discount at the time of sale and the discount is typically taken by the customer</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within one month.</w:t>
      </w:r>
    </w:p>
    <w:p>
      <w:pPr>
        <w:spacing w:after="0" w:line="200" w:lineRule="exact"/>
        <w:rPr>
          <w:sz w:val="20"/>
          <w:szCs w:val="20"/>
          <w:color w:val="auto"/>
        </w:rPr>
      </w:pP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Payor rebates</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participate in state government Medicaid programs and other qualifying Federal and state government programs requiring discounts and rebates to participating state and local government entities. All discounts and rebates provided through these programs are included in our Medicaid rebate accrual. Our rebate accrual calculations require us to estimate the magnitude of our revenue that will be subject to these rebates. Our rebate accruals are recorded in the same period in which the related revenue is recognized, resulting in a reduction of product revenue. The estimated amount of unpaid or unbilled rebates is presented as a liability.</w:t>
      </w:r>
    </w:p>
    <w:p>
      <w:pPr>
        <w:spacing w:after="0" w:line="182" w:lineRule="exact"/>
        <w:rPr>
          <w:sz w:val="20"/>
          <w:szCs w:val="20"/>
          <w:color w:val="auto"/>
        </w:rPr>
      </w:pPr>
    </w:p>
    <w:p>
      <w:pPr>
        <w:ind w:right="600" w:firstLine="749"/>
        <w:spacing w:after="0" w:line="265" w:lineRule="auto"/>
        <w:rPr>
          <w:sz w:val="20"/>
          <w:szCs w:val="20"/>
          <w:color w:val="auto"/>
        </w:rPr>
      </w:pPr>
      <w:r>
        <w:rPr>
          <w:rFonts w:ascii="Times New Roman" w:cs="Times New Roman" w:eastAsia="Times New Roman" w:hAnsi="Times New Roman"/>
          <w:sz w:val="18"/>
          <w:szCs w:val="18"/>
          <w:color w:val="auto"/>
        </w:rPr>
        <w:t>Rebates and discounts are offered to managed healthcare organizations in the U.S. managing prescription drug programs and Medicare Advantage prescription drug plans covering the Medicare Part D drug benefit. The estimated amount of unpaid or unbilled rebates and discounts is presented as a liability.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incentives, returns, discounts and adjustments</w:t>
      </w:r>
    </w:p>
    <w:p>
      <w:pPr>
        <w:spacing w:after="0" w:line="227"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Other GTN adjustments include incentives which we offer and includes voluntary patient assistance programs, such as our co-pay assistance program, which are intended to provide financial assistance to qualified commercially-insured patients with prescription drug co-payments required by payors. The calculation of the accrual for co-pay assistance is based on an estimate of claims and the cost per claim that we expect to receive associated with the product that has been recognized as revenue for each reporting period. The adjustments are recorded in the same period the related revenue is recognized, resulting in a reduction of product revenue and the establishment of a current liability which is included as a component of accrued expenses and other current liabilities on the consolidated balance sheets.</w:t>
      </w:r>
    </w:p>
    <w:p>
      <w:pPr>
        <w:spacing w:after="0" w:line="186"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18"/>
          <w:szCs w:val="18"/>
          <w:color w:val="auto"/>
        </w:rPr>
        <w:t>Estimated product returns for established products are determined using quantitative and qualitative information including, but not limited to, expected experience with returns, projected demand, levels of inventory in the distribution channel, product dating and expiration period, and whether products have been discontinued, among others. The Company has received an immaterial amount of returns to date and believe that returns of product in future periods will be minimal.</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w:t>
      </w:r>
    </w:p>
    <w:p>
      <w:pPr>
        <w:spacing w:after="0" w:line="187"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The estimate of accrued research and development expense is dependent, in part, upon the receipt of timely and accurate reporting from CROs, CMOs and other third-party service providers. Examples of estimated accrued research and development expenses include fees paid to:</w:t>
      </w:r>
    </w:p>
    <w:p>
      <w:pPr>
        <w:spacing w:after="0" w:line="55" w:lineRule="exact"/>
        <w:rPr>
          <w:sz w:val="20"/>
          <w:szCs w:val="20"/>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study and clinical trial materials.</w:t>
      </w:r>
    </w:p>
    <w:p>
      <w:pPr>
        <w:spacing w:after="0" w:line="22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CMOs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8" w:right="419" w:bottom="1440" w:gutter="0" w:footer="0" w:header="0"/>
        </w:sectPr>
      </w:pPr>
    </w:p>
    <w:bookmarkStart w:id="132" w:name="page133"/>
    <w:bookmarkEnd w:id="132"/>
    <w:p>
      <w:pPr>
        <w:ind w:right="180"/>
        <w:spacing w:after="0" w:line="260" w:lineRule="auto"/>
        <w:rPr>
          <w:sz w:val="20"/>
          <w:szCs w:val="20"/>
          <w:color w:val="auto"/>
        </w:rPr>
      </w:pPr>
      <w:r>
        <w:rPr>
          <w:rFonts w:ascii="Times New Roman" w:cs="Times New Roman" w:eastAsia="Times New Roman" w:hAnsi="Times New Roman"/>
          <w:sz w:val="18"/>
          <w:szCs w:val="18"/>
          <w:color w:val="auto"/>
        </w:rPr>
        <w:t>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Deferred tax assets and liabilities represent future tax consequences of temporary differences between the financial statement carrying amounts and the tax basis of assets and liabilities and for tax attribute carryforwards using enacted tax rates expected to be in effect in the years in which the differences reverse.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2023, we continued to maintain a full valuation allowance against all of our U.S. federal and state deferred tax assets based on management’s evaluation of all available evidence, including our history of incurring significant losses from operations. Our evaluation of all available evidence also includes consideration of revenue generated from the sale of ALBRIOZA and RELYVRIO in 2023. Given the early stage of our product launch, we are uncertain about the timing and amount of future sales that would result in sustained profitability that provides sufficient positive objective evidence of the recoverability of our deferred tax assets. We may release all or a portion of the valuation allowance in the near-term; however, the release of the valuation allowance, as well as the exact timing and the amount of such release, continue to be subject to, among other things, our level of profitability, revenue growth, clinical program progression and expectations regarding future profitability. We may become subject to income tax audits and adjustments by local tax authorities. The nature of uncertain tax positions is subject to significant judgment by management and subject to change, which may be substantial.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value our inventories at the lower of cost or estimated net realizable value. We determine the cost of our inventories, which includes amounts related to materials and manufacturing overhead, on a first-in, first-out basis. We classify inventory as long-term when consumption or sale of the inventory is expected beyond twelve months. We perform an assessment of the recoverability of capitalized inventory during each reporting period, and we write down any excess and obsolete inventories to their estimated net realizable value in the period in which impairment is first identified. Such impairment charges, should they occur, are recorded within cost of sales. The determination of whether inventory costs will be realizable requires estimates by management such as the future demand of our products, estimated future sales, the remaining shelf life of goods on hand, and our current and future strategic plans.</w:t>
      </w:r>
    </w:p>
    <w:p>
      <w:pPr>
        <w:spacing w:after="0" w:line="187"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7"/>
          <w:szCs w:val="17"/>
          <w:color w:val="auto"/>
        </w:rPr>
        <w:t>If actual demand for our product declines, or if actual market conditions are less favorable than those projected by management, additional write-downs of inventory may be required which would be recorded as cost of sales in the consolidated statements of operations. Additionally, our product is subject to strict quality control and monitoring that we perform throughout the manufacturing process. In the event that certain batches or units of product do not meet quality specifications, we will record a charge to cost of sales, to write down any unmarketable inventory to its estimated net realizable value.</w:t>
      </w:r>
    </w:p>
    <w:p>
      <w:pPr>
        <w:spacing w:after="0" w:line="166"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Although we believe that the assumptions we use in estimating inventory write-downs are reasonable, no assurance can be given that significant future changes in these assumptions or changes in future events and market conditions could result in different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520" w:firstLine="749"/>
        <w:spacing w:after="0" w:line="281"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transactions. We are exposed to various market risks in the ordinary course of our business which are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2023, we had cash, cash equivalents and short-term investments of $371.4 million. Our cash equivalents are invested primarily in bank deposits and money market mutual funds. Our primary exposure to market risk is interest rate sensitivity, which is affected by changes in the general level of U.S. interest rates. Our investments are subject to interest rate risk and could fall in value if market interest rates increase. Due to the duration of our investment portfolio and the low risk profile of our investments, we do not believe an immediate 100 basis point change in interest rates would have a material effect on the fair market value of our portfolio. We have the ability to hold our investments until maturity, and therefore we would not expect our operating results or cash flows to be affected to any significant degree by the effect of a change in market interest rates on our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Currency Translation Risk</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have contracted with and may continue to contract with vendors that are located outside of the U.S. As a result, our operations may be subject to fluctuations in foreign currency exchange rates in the future. In addition, we translate the assets and liabilities of our foreign subsidiaries from their respective functional currencies to U.S. dollars at the appropriate rates as of the balance sheet date. Changes in the carrying value of these assets and liabilities attributable to fluctuations in rates are included in accumulated other comprehensive income (loss) on our consolidated balance sheets. Income statement accounts are translated using the monthly average exchange rates during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or results of operations during the twelve months ended December 31, 2023 and 2022. However, inflation has had, and may continue to have, an impact on the labor costs we incur to attract and retain qualified personnel.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reports of our independent registered public accounting firms, appear beginning on page F-1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officers and our principal financial officer, evaluated the effectiveness of our disclosure controls and procedures as of December 31, 2023. Based on the evaluation 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4" w:name="page135"/>
    <w:bookmarkEnd w:id="134"/>
    <w:p>
      <w:pPr>
        <w:ind w:right="100"/>
        <w:spacing w:after="0" w:line="281" w:lineRule="auto"/>
        <w:rPr>
          <w:sz w:val="20"/>
          <w:szCs w:val="20"/>
          <w:color w:val="auto"/>
        </w:rPr>
      </w:pPr>
      <w:r>
        <w:rPr>
          <w:rFonts w:ascii="Times New Roman" w:cs="Times New Roman" w:eastAsia="Times New Roman" w:hAnsi="Times New Roman"/>
          <w:sz w:val="18"/>
          <w:szCs w:val="18"/>
          <w:color w:val="auto"/>
        </w:rPr>
        <w:t>our disclosure controls and procedures as of December 31, 2023, our Chief Executive Officers and Chief Financial Officer concluded that, as of such date, our disclosure controls and procedures were effective at the reasonable assurance level.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60" w:firstLine="749"/>
        <w:spacing w:after="0" w:line="220"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 policies and procedures that:</w:t>
      </w:r>
    </w:p>
    <w:p>
      <w:pPr>
        <w:spacing w:after="0" w:line="91" w:lineRule="exact"/>
        <w:rPr>
          <w:sz w:val="20"/>
          <w:szCs w:val="20"/>
          <w:color w:val="auto"/>
        </w:rPr>
      </w:pPr>
    </w:p>
    <w:p>
      <w:pPr>
        <w:ind w:left="1020" w:right="72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transactions relating to our business and dispositions of our assets;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GAAP, and that receipts and expenditures are being made only in accordance with authorizations of our management and directors;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Chief Executive Officers and the Company’s Chief Financial Officer, we assessed the effectiveness of our internal control over financial reporting based on the criteria for effective internal control over financial reporting under the 2013 “Internal Control—Integrated Framework”, issued by the Committee of Sponsoring Organizations of the Treadway Commission, or COSO. Based on such assessment, our management concluded that we maintained effective internal control over financial reporting as of December 31, 2023.</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700" w:firstLine="74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December 31, 2023 that have materially affected, or are reasonably likely to materially affect, our internal control over financial reporting.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35" w:name="page136"/>
    <w:bookmarkEnd w:id="135"/>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Amylyx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Amylyx Pharmaceuticals,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4"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During the three months ended December 31, 2023, the following officers or directors of the Company (as defined in Rule 16a-1(f)) adopted the following trading plans for the sale of our common stock pursuant to the terms of the applicable plan; such plans are intended to satisfy the affirmative defense conditions of Rule 10b5–1(c)(1) of the Exchange Act:</w:t>
      </w:r>
    </w:p>
    <w:p>
      <w:pPr>
        <w:spacing w:after="0" w:line="69" w:lineRule="exact"/>
        <w:rPr>
          <w:sz w:val="20"/>
          <w:szCs w:val="20"/>
          <w:color w:val="auto"/>
        </w:rPr>
      </w:pPr>
    </w:p>
    <w:p>
      <w:pPr>
        <w:ind w:left="1020" w:hanging="504"/>
        <w:spacing w:after="0" w:line="26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Cohen, our Co-Chief Executive Officer and a member of our board of directors, adopted a new Rule 10b5-1 trading plan on December 15, 2023, which is scheduled to expire on November 30, 2024. The aggregate number of shares of our common stock authorized to be sold under this new arrangement is 60,000;</w:t>
      </w:r>
    </w:p>
    <w:p>
      <w:pPr>
        <w:spacing w:after="0" w:line="69" w:lineRule="exact"/>
        <w:rPr>
          <w:rFonts w:ascii="Times New Roman" w:cs="Times New Roman" w:eastAsia="Times New Roman" w:hAnsi="Times New Roman"/>
          <w:sz w:val="18"/>
          <w:szCs w:val="18"/>
          <w:color w:val="auto"/>
        </w:rPr>
      </w:pPr>
    </w:p>
    <w:p>
      <w:pPr>
        <w:jc w:val="both"/>
        <w:ind w:left="1020" w:right="200" w:hanging="504"/>
        <w:spacing w:after="0" w:line="26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Klee, our Co-Chief Executive Officer and a member of our board of directors, adopted a new Rule 10b5-1 trading plan on December 15, 2023, which is scheduled to expire on November 30, 2024. The aggregate number of shares of our common stock authorized to be sold under this new arrangement is 60,000.</w:t>
      </w:r>
    </w:p>
    <w:p>
      <w:pPr>
        <w:spacing w:after="0" w:line="69"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Frates, our Chief Financial Officer, adopted a new Rule 10b5-1 trading plan on December 14, 2023, which is scheduled to expire on December 1, 2024. The aggregate number of shares of our common stock authorized to be sold under this new arrangement is 90,000.</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Gina M. Mazzariello, our Chief Legal Officer and General Counsel, adopted a new Rule 10b5-1 trading plan on December 14, 2023, which is scheduled to expire on March 8, 2025. The aggregate number of shares of our common stock authorized to be sold under this new arrangement is 76,290, which includes shares that may be withheld or sold to cover withholding taxes at the time of vesting.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other director or officer has adopted or terminated any non-Rule 10b5-1 trading arrangements during the quarter ended December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10 will be included in the Proposal No. 1, Corporate Governance and Executive Officers section of our definitive proxy statement to be filed with the SEC with respect to our 2024 Annual Meeting of Stockholders and is incorporated herein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00" w:firstLine="74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Executive Compensation and Director Compensation sections (excluding the information under the heading “Pay Versus Performance”) of our definitive proxy statement to be filed with the SEC with respect to our 2024 Annual Meeting of Stockholders and is incorporated herein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120" w:firstLine="749"/>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12 will be included in the Security Ownership of Certain Beneficial Owners and Management sections of our definitive proxy statement to be filed with the SEC with respect to our 2024 Annual Meeting of Stockholders and is incorporated herein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Certain Relationships and Related Party Transactions and Corporate Governance sections of our definitive proxy statement to be filed with the SEC with respect to our 2024 Annual Meeting of Stockholders and is incorporated herein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Boston, Massachusetts, PCAOB Auditor ID: 34.</w:t>
      </w:r>
    </w:p>
    <w:p>
      <w:pPr>
        <w:spacing w:after="0" w:line="225"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Proposal No. 2 section of our definitive proxy statement to be filed with the SEC with respect to our 2024 Annual Meeting of Stockholders and is incorporated herein by reference.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7" w:lineRule="exact"/>
        <w:rPr>
          <w:sz w:val="20"/>
          <w:szCs w:val="20"/>
          <w:color w:val="auto"/>
        </w:rPr>
      </w:pPr>
    </w:p>
    <w:p>
      <w:pPr>
        <w:ind w:left="1020" w:hanging="504"/>
        <w:spacing w:after="0"/>
        <w:tabs>
          <w:tab w:leader="none" w:pos="102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520" w:right="300"/>
        <w:spacing w:after="0" w:line="281"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the Consolidated Financial Statements on page F-1 of this Annual Report, which is incorporated into this Item by reference.</w:t>
      </w:r>
    </w:p>
    <w:p>
      <w:pPr>
        <w:spacing w:after="0" w:line="268" w:lineRule="exact"/>
        <w:rPr>
          <w:sz w:val="20"/>
          <w:szCs w:val="20"/>
          <w:color w:val="auto"/>
        </w:rPr>
      </w:pPr>
    </w:p>
    <w:p>
      <w:pPr>
        <w:ind w:left="1020" w:hanging="504"/>
        <w:spacing w:after="0"/>
        <w:tabs>
          <w:tab w:leader="none" w:pos="102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gridSpan w:val="2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04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Fourth Amended and Restated Certificate of Incorporation of Amylyx Pharmaceuticals, Inc. (Incorporated by reference to Exhibit 3.1 to</w:t>
              </w:r>
            </w:hyperlink>
          </w:p>
        </w:tc>
        <w:tc>
          <w:tcPr>
            <w:tcW w:w="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the Registrant’s Current Report on Form 8-K filed with the Securities and Exchange Commission on January 11, 2022).</w:t>
              </w:r>
            </w:hyperlink>
          </w:p>
        </w:tc>
        <w:tc>
          <w:tcPr>
            <w:tcW w:w="20" w:type="dxa"/>
            <w:vAlign w:val="bottom"/>
            <w:tcBorders>
              <w:bottom w:val="single" w:sz="8" w:color="0000EE"/>
            </w:tcBorders>
          </w:tcPr>
          <w:p>
            <w:pPr>
              <w:spacing w:after="0"/>
              <w:rPr>
                <w:sz w:val="17"/>
                <w:szCs w:val="17"/>
                <w:color w:val="auto"/>
              </w:rPr>
            </w:pPr>
          </w:p>
        </w:tc>
        <w:tc>
          <w:tcPr>
            <w:tcW w:w="1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Second Amended and Restated Bylaws of Amylyx Pharmaceuticals, Inc. (Incorporated by reference to Exhibit 3.2 to the Registrant’s</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7"/>
          </w:tcPr>
          <w:p>
            <w:pPr>
              <w:spacing w:after="0" w:line="195"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Current Report on Form 8-K filed with the Securities and Exchange Commission on January 11, 2022).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S-1/A</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(File No. 333-261703) filed with the Securities and Exchange Commission on January 3, 2022).</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Second Amended and Restated Investors’ Rights Agreement, dated as of July 1, 2021, among the Registrant and the parties thereto</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(Incorporated by reference to Exhibit 4.2 to the Registrant’s Registration Statement on Form S-1 (File No. 333-261703) filed with the</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Securities and Exchange Commission on December 16, 2021).</w:t>
              </w:r>
            </w:hyperlink>
          </w:p>
        </w:tc>
        <w:tc>
          <w:tcPr>
            <w:tcW w:w="55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Description of Securities (Incorporated by reference to Exhibit 4.3 to the Registrant’s Form 10-K filed with the Securities and Exchange</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Commission on March 31, 2022).</w:t>
              </w:r>
            </w:hyperlink>
          </w:p>
        </w:tc>
        <w:tc>
          <w:tcPr>
            <w:tcW w:w="20" w:type="dxa"/>
            <w:vAlign w:val="bottom"/>
            <w:tcBorders>
              <w:bottom w:val="single" w:sz="8" w:color="0000EE"/>
            </w:tcBorders>
          </w:tcPr>
          <w:p>
            <w:pPr>
              <w:spacing w:after="0"/>
              <w:rPr>
                <w:sz w:val="17"/>
                <w:szCs w:val="17"/>
                <w:color w:val="auto"/>
              </w:rPr>
            </w:pPr>
          </w:p>
        </w:tc>
        <w:tc>
          <w:tcPr>
            <w:tcW w:w="76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2015 Stock Option and Incentive Plan, and form of award agreements thereunder (Incorporated by reference to Exhibit 10.1 to the</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Registrant’s Registration Statement on Form S-1/A (File No. 333-261703) filed with the Securities and Exchange Commission on January</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0" w:type="dxa"/>
            <w:vAlign w:val="bottom"/>
            <w:gridSpan w:val="3"/>
          </w:tcPr>
          <w:p>
            <w:pPr>
              <w:ind w:left="120"/>
              <w:spacing w:after="0" w:line="195"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3, 2022).</w:t>
              </w:r>
            </w:hyperlink>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2022 Stock Option and Incentive Plan, and form of award agreements thereunder (Incorporated by reference to Exhibit 10.2 to the</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Registrant’s Registration Statement on Form S-1/A (File No. 333-261703) filed with the Securities and Exchange Commission on January</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0" w:type="dxa"/>
            <w:vAlign w:val="bottom"/>
            <w:gridSpan w:val="3"/>
          </w:tcPr>
          <w:p>
            <w:pPr>
              <w:ind w:left="120"/>
              <w:spacing w:after="0" w:line="195"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3, 2022).</w:t>
              </w:r>
            </w:hyperlink>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Non-Employee Director Compensation Policy (Incorporated by reference to Exhibit 10.1 to the Registrant’s Current Report on Form 8-K</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7"/>
          </w:tcPr>
          <w:p>
            <w:pPr>
              <w:spacing w:after="0" w:line="195"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filed with the Securities and Exchange Commission on March 21,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Executive Cash Incentive Bonus Plan (Incorporated by reference to Exhibit 10.4 to the Registrant’s Registration Statement on Form S-1/A</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(File No. 333-261703) filed with the Securities and Exchange Commission on January 3, 2022).</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2022 Employee Stock Purchase Plan (Incorporated by reference to Exhibit 10.3 to the Registrant’s Registration Statement on Form S-1/A</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(File No. 333-261703) filed with the Securities and Exchange Commission on January 3, 2022).</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Lease Agreement, dated as of October 23, 2018, as amended, by and between the Registrant and Bullfinch Square Limited Partnership</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(Incorporated by reference to Exhibit 10.6 to the Registrant’s Registration Statement on Form S-1 (File No. 333-261703) filed with the</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Securities and Exchange Commission on December 16, 2021).</w:t>
              </w:r>
            </w:hyperlink>
          </w:p>
        </w:tc>
        <w:tc>
          <w:tcPr>
            <w:tcW w:w="20" w:type="dxa"/>
            <w:vAlign w:val="bottom"/>
            <w:tcBorders>
              <w:bottom w:val="single" w:sz="8" w:color="0000EE"/>
            </w:tcBorders>
          </w:tcPr>
          <w:p>
            <w:pPr>
              <w:spacing w:after="0"/>
              <w:rPr>
                <w:sz w:val="17"/>
                <w:szCs w:val="17"/>
                <w:color w:val="auto"/>
              </w:rPr>
            </w:pPr>
          </w:p>
        </w:tc>
        <w:tc>
          <w:tcPr>
            <w:tcW w:w="5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Form of Employment Agreement, between the Registrant and Josh Cohen (Incorporated by reference to Exhibit 10.7 to the Registrant’s</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Registration Statement on Form S-1/A (File No. 333-261703) filed with the Securities and Exchange Commission on January 3, 2022).</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Form of Employment Agreement, between the Registrant and Justin Klee (Incorporated by reference to Exhibit 10.8 to the Registrant’s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Registration Statement on Form S-1/A (File No. 333-261703) filed with the Securities and Exchange Commission on January 3, 2022).</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Form of Employment Agreement, between the Registrant and James Frates (Incorporated by reference to Exhibit 10.9 to the Registrant’s</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Registration Statement on Form S-1/A (File No. 333-261703) filed with the Securities and Exchange Commission on January 3, 2022).</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040" w:type="dxa"/>
            <w:vAlign w:val="bottom"/>
          </w:tcPr>
          <w:p>
            <w:pPr>
              <w:spacing w:after="0"/>
              <w:rPr>
                <w:sz w:val="24"/>
                <w:szCs w:val="24"/>
                <w:color w:val="auto"/>
              </w:rPr>
            </w:pPr>
          </w:p>
        </w:tc>
        <w:tc>
          <w:tcPr>
            <w:tcW w:w="5380" w:type="dxa"/>
            <w:vAlign w:val="bottom"/>
            <w:gridSpan w:val="8"/>
          </w:tcPr>
          <w:p>
            <w:pPr>
              <w:jc w:val="right"/>
              <w:ind w:right="588"/>
              <w:spacing w:after="0"/>
              <w:rPr>
                <w:sz w:val="20"/>
                <w:szCs w:val="20"/>
                <w:color w:val="auto"/>
              </w:rPr>
            </w:pPr>
            <w:r>
              <w:rPr>
                <w:rFonts w:ascii="Times New Roman" w:cs="Times New Roman" w:eastAsia="Times New Roman" w:hAnsi="Times New Roman"/>
                <w:sz w:val="18"/>
                <w:szCs w:val="18"/>
                <w:color w:val="auto"/>
              </w:rPr>
              <w:t>136</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Employment Agreement, between the Registrant and Margaret Olinger (Incorporated by reference to Exhibit 10.10 to the</w:t>
              </w:r>
            </w:hyperlink>
          </w:p>
        </w:tc>
        <w:tc>
          <w:tcPr>
            <w:tcW w:w="680" w:type="dxa"/>
            <w:vAlign w:val="bottom"/>
            <w:gridSpan w:val="1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Registrant’s Registration Statement on Form S-1/A (File No. 333-261703) filed with the Securities and Exchange Commission on January</w:t>
              </w:r>
            </w:hyperlink>
          </w:p>
        </w:tc>
      </w:tr>
      <w:tr>
        <w:trPr>
          <w:trHeight w:val="196"/>
        </w:trPr>
        <w:tc>
          <w:tcPr>
            <w:tcW w:w="1160" w:type="dxa"/>
            <w:vAlign w:val="bottom"/>
          </w:tcPr>
          <w:p>
            <w:pPr>
              <w:spacing w:after="0"/>
              <w:rPr>
                <w:sz w:val="17"/>
                <w:szCs w:val="17"/>
                <w:color w:val="auto"/>
              </w:rPr>
            </w:pPr>
          </w:p>
        </w:tc>
        <w:tc>
          <w:tcPr>
            <w:tcW w:w="66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3,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Employment Agreement, between the Registrant and Patrick D. Yeramian, M.D. (Incorporated by reference to Exhibit 10.11 to the</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Registrant’s Registration Statement on Form S-1/A (File No. 333-261703) filed with the Securities and Exchange Commission on January</w:t>
              </w:r>
            </w:hyperlink>
          </w:p>
        </w:tc>
      </w:tr>
      <w:tr>
        <w:trPr>
          <w:trHeight w:val="196"/>
        </w:trPr>
        <w:tc>
          <w:tcPr>
            <w:tcW w:w="1160" w:type="dxa"/>
            <w:vAlign w:val="bottom"/>
          </w:tcPr>
          <w:p>
            <w:pPr>
              <w:spacing w:after="0"/>
              <w:rPr>
                <w:sz w:val="17"/>
                <w:szCs w:val="17"/>
                <w:color w:val="auto"/>
              </w:rPr>
            </w:pPr>
          </w:p>
        </w:tc>
        <w:tc>
          <w:tcPr>
            <w:tcW w:w="66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3,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2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Amendment to Employment Agreement, effective as of December 1, 2022, by and between the Company and Patrick Yeramian</w:t>
              </w:r>
            </w:hyperlink>
          </w:p>
        </w:tc>
        <w:tc>
          <w:tcPr>
            <w:tcW w:w="840" w:type="dxa"/>
            <w:vAlign w:val="bottom"/>
            <w:gridSpan w:val="1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by reference to Exhibit 10.1 to the Registrant’s Current Report on Form 8-K filed with the Securities and Exchange</w:t>
              </w:r>
            </w:hyperlink>
          </w:p>
        </w:tc>
        <w:tc>
          <w:tcPr>
            <w:tcW w:w="700" w:type="dxa"/>
            <w:vAlign w:val="bottom"/>
            <w:gridSpan w:val="1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62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Commission on December 6, 2022).</w:t>
              </w:r>
            </w:hyperlink>
          </w:p>
        </w:tc>
        <w:tc>
          <w:tcPr>
            <w:tcW w:w="20" w:type="dxa"/>
            <w:vAlign w:val="bottom"/>
            <w:tcBorders>
              <w:bottom w:val="single" w:sz="8" w:color="0000EE"/>
            </w:tcBorders>
          </w:tcPr>
          <w:p>
            <w:pPr>
              <w:spacing w:after="0"/>
              <w:rPr>
                <w:sz w:val="17"/>
                <w:szCs w:val="17"/>
                <w:color w:val="auto"/>
              </w:rPr>
            </w:pPr>
          </w:p>
        </w:tc>
        <w:tc>
          <w:tcPr>
            <w:tcW w:w="7440" w:type="dxa"/>
            <w:vAlign w:val="bottom"/>
            <w:gridSpan w:val="32"/>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Amendment to Employment Agreement, effective as of November 27, 2023, by and between the Company and Patrick Yeramian.</w:t>
            </w:r>
          </w:p>
        </w:tc>
      </w:tr>
      <w:tr>
        <w:trPr>
          <w:trHeight w:val="20"/>
        </w:trPr>
        <w:tc>
          <w:tcPr>
            <w:tcW w:w="1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Employment Agreement, between the Registrant and Gina Mazzariello (Incorporated by reference to Exhibit 10.18 to the</w:t>
              </w:r>
            </w:hyperlink>
          </w:p>
        </w:tc>
        <w:tc>
          <w:tcPr>
            <w:tcW w:w="68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34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Registrant’s Annual Report on Form 10-K filed with the Securities and Exchange Commission on March 13, 2023).</w:t>
              </w:r>
            </w:hyperlink>
          </w:p>
        </w:tc>
        <w:tc>
          <w:tcPr>
            <w:tcW w:w="1740" w:type="dxa"/>
            <w:vAlign w:val="bottom"/>
            <w:gridSpan w:val="21"/>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Form of Employment Agreement, between the Registrant and Camille Bedrosian.</w:t>
            </w:r>
          </w:p>
        </w:tc>
      </w:tr>
      <w:tr>
        <w:trPr>
          <w:trHeight w:val="20"/>
        </w:trPr>
        <w:tc>
          <w:tcPr>
            <w:tcW w:w="1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Form of Officer Indemnification Agreement (Incorporated by reference to Exhibit 10.13 to the Registrant’s Registration Statement on Form</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48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S-1 (File No. 333-261703) filed with the Securities and Exchange Commission on December 16, 2021).</w:t>
              </w:r>
            </w:hyperlink>
          </w:p>
        </w:tc>
        <w:tc>
          <w:tcPr>
            <w:tcW w:w="2600" w:type="dxa"/>
            <w:vAlign w:val="bottom"/>
            <w:gridSpan w:val="22"/>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Separation Agreement between Registrant and Margaret Olinger dated December 31, 2023.</w:t>
            </w:r>
          </w:p>
        </w:tc>
      </w:tr>
      <w:tr>
        <w:trPr>
          <w:trHeight w:val="20"/>
        </w:trPr>
        <w:tc>
          <w:tcPr>
            <w:tcW w:w="1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Master Manufacturing Services Agreement, dated as of November 12, 2019, by and between the Registrant and Patheon Inc. (Incorporated</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by reference to Exhibit 10.14 to the Registrant’s Registration Statement on Form S-1 (File No. 333-261703) filed with the Securities and</w:t>
              </w:r>
            </w:hyperlink>
          </w:p>
        </w:tc>
        <w:tc>
          <w:tcPr>
            <w:tcW w:w="20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6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Exchange Commission on December 16, 2021).</w:t>
              </w:r>
            </w:hyperlink>
          </w:p>
        </w:tc>
        <w:tc>
          <w:tcPr>
            <w:tcW w:w="20" w:type="dxa"/>
            <w:vAlign w:val="bottom"/>
            <w:tcBorders>
              <w:bottom w:val="single" w:sz="8" w:color="0000EE"/>
            </w:tcBorders>
          </w:tcPr>
          <w:p>
            <w:pPr>
              <w:spacing w:after="0"/>
              <w:rPr>
                <w:sz w:val="17"/>
                <w:szCs w:val="17"/>
                <w:color w:val="auto"/>
              </w:rPr>
            </w:pPr>
          </w:p>
        </w:tc>
        <w:tc>
          <w:tcPr>
            <w:tcW w:w="6600" w:type="dxa"/>
            <w:vAlign w:val="bottom"/>
            <w:gridSpan w:val="30"/>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First Amendment, dated as of January 18, 2021, to Product Agreement, dated as of November 12, 2019, pursuant to the Master</w:t>
              </w:r>
            </w:hyperlink>
          </w:p>
        </w:tc>
        <w:tc>
          <w:tcPr>
            <w:tcW w:w="900" w:type="dxa"/>
            <w:vAlign w:val="bottom"/>
            <w:gridSpan w:val="2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Manufacturing Services Agreement, dated as of November 12, 2019, by and between the Registrant and Patheon Inc. (Incorporated by</w:t>
              </w:r>
            </w:hyperlink>
          </w:p>
        </w:tc>
        <w:tc>
          <w:tcPr>
            <w:tcW w:w="360" w:type="dxa"/>
            <w:vAlign w:val="bottom"/>
            <w:gridSpan w:val="11"/>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reference to Exhibit 10.2 to the Registrant’s Quarterly Report on Form 10-Q filed with the Securities and Exchange Commission on May</w:t>
              </w:r>
            </w:hyperlink>
          </w:p>
        </w:tc>
      </w:tr>
      <w:tr>
        <w:trPr>
          <w:trHeight w:val="196"/>
        </w:trPr>
        <w:tc>
          <w:tcPr>
            <w:tcW w:w="1160" w:type="dxa"/>
            <w:vAlign w:val="bottom"/>
          </w:tcPr>
          <w:p>
            <w:pPr>
              <w:spacing w:after="0"/>
              <w:rPr>
                <w:sz w:val="17"/>
                <w:szCs w:val="17"/>
                <w:color w:val="auto"/>
              </w:rPr>
            </w:pPr>
          </w:p>
        </w:tc>
        <w:tc>
          <w:tcPr>
            <w:tcW w:w="740" w:type="dxa"/>
            <w:vAlign w:val="bottom"/>
            <w:tcBorders>
              <w:top w:val="single" w:sz="8" w:color="0000FF"/>
              <w:bottom w:val="single" w:sz="8" w:color="0000FF"/>
            </w:tcBorders>
            <w:gridSpan w:val="3"/>
          </w:tcPr>
          <w:p>
            <w:pPr>
              <w:spacing w:after="0" w:line="195"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11,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Second Amendment, dated as of March 20, 2023, to Product Agreement, dated as of November 12, 2019, as amended by Amendment No.</w:t>
              </w:r>
            </w:hyperlink>
          </w:p>
        </w:tc>
        <w:tc>
          <w:tcPr>
            <w:tcW w:w="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52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1, dated as of January 18, 2021, pursuant to the Master Manufacturing Services Agreement, dated as of November 12, 2019, by and</w:t>
              </w:r>
            </w:hyperlink>
          </w:p>
        </w:tc>
        <w:tc>
          <w:tcPr>
            <w:tcW w:w="560" w:type="dxa"/>
            <w:vAlign w:val="bottom"/>
            <w:gridSpan w:val="1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60" w:type="dxa"/>
            <w:vAlign w:val="bottom"/>
            <w:tcBorders>
              <w:bottom w:val="single" w:sz="8" w:color="0000FF"/>
            </w:tcBorders>
            <w:gridSpan w:val="39"/>
          </w:tcPr>
          <w:p>
            <w:pPr>
              <w:spacing w:after="0" w:line="195"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between the Registrant and Patheon Inc. (Incorporated by reference to Exhibit 10.3 to the Registrant’s Quarterly Report on Form 10-Q filed</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with the Securities and Exchange Commission on May 11, 2023).</w:t>
              </w:r>
            </w:hyperlink>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Supply Agreement, dated as of October 29, 2019, by and between the Registrant and CU Chemie Uetikon GmbH (Incorporated by</w:t>
              </w:r>
            </w:hyperlink>
          </w:p>
        </w:tc>
        <w:tc>
          <w:tcPr>
            <w:tcW w:w="640" w:type="dxa"/>
            <w:vAlign w:val="bottom"/>
            <w:gridSpan w:val="1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6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reference to Exhibit 10.15 to the Registrant’s Registration Statement on Form S-1 (File No. 333-261703) filed with the Securities and</w:t>
              </w:r>
            </w:hyperlink>
          </w:p>
        </w:tc>
        <w:tc>
          <w:tcPr>
            <w:tcW w:w="420" w:type="dxa"/>
            <w:vAlign w:val="bottom"/>
            <w:gridSpan w:val="1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6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Exchange Commission on December 16, 2021).</w:t>
              </w:r>
            </w:hyperlink>
          </w:p>
        </w:tc>
        <w:tc>
          <w:tcPr>
            <w:tcW w:w="20" w:type="dxa"/>
            <w:vAlign w:val="bottom"/>
            <w:tcBorders>
              <w:bottom w:val="single" w:sz="8" w:color="0000EE"/>
            </w:tcBorders>
          </w:tcPr>
          <w:p>
            <w:pPr>
              <w:spacing w:after="0"/>
              <w:rPr>
                <w:sz w:val="17"/>
                <w:szCs w:val="17"/>
                <w:color w:val="auto"/>
              </w:rPr>
            </w:pPr>
          </w:p>
        </w:tc>
        <w:tc>
          <w:tcPr>
            <w:tcW w:w="6600" w:type="dxa"/>
            <w:vAlign w:val="bottom"/>
            <w:gridSpan w:val="30"/>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First Amendment, effective as of January 1, 2023, to the Supply Agreement, dated as of October 29, 2019, by and between the Registrant</w:t>
              </w:r>
            </w:hyperlink>
          </w:p>
        </w:tc>
        <w:tc>
          <w:tcPr>
            <w:tcW w:w="14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0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and CU Chemie Uetikon GmbH (Incorporated by reference to Exhibit 10.4 to the Registrant’s Quarterly Report on Form 10-Q filed with</w:t>
              </w:r>
            </w:hyperlink>
          </w:p>
        </w:tc>
        <w:tc>
          <w:tcPr>
            <w:tcW w:w="18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the Securities and Exchange Commission on May 11, 2023).</w:t>
              </w:r>
            </w:hyperlink>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Research, Development and Supply Agreement, dated as of December 9, 2019, and Deed of Amendment, dated as of July 26, 2021, by and</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8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between the Registrant and ICE S.p.A. (formerly Prodotti Chimici e Alimentari S.p.A.), as amended (Incorporated by reference to Exhibit</w:t>
              </w:r>
            </w:hyperlink>
          </w:p>
        </w:tc>
        <w:tc>
          <w:tcPr>
            <w:tcW w:w="10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16</w:t>
              </w:r>
              <w:r>
                <w:rPr>
                  <w:rFonts w:ascii="Times New Roman" w:cs="Times New Roman" w:eastAsia="Times New Roman" w:hAnsi="Times New Roman"/>
                  <w:sz w:val="18"/>
                  <w:szCs w:val="18"/>
                  <w:color w:val="0000FF"/>
                  <w:w w:val="99"/>
                </w:rPr>
                <w:t xml:space="preserve"> to the Registrant’s Registration Statement on Form S-1 (File No. 333-261703) filed with the Securities and Exchange Commission on</w:t>
              </w:r>
            </w:hyperlink>
          </w:p>
        </w:tc>
      </w:tr>
      <w:tr>
        <w:trPr>
          <w:trHeight w:val="196"/>
        </w:trPr>
        <w:tc>
          <w:tcPr>
            <w:tcW w:w="1160" w:type="dxa"/>
            <w:vAlign w:val="bottom"/>
          </w:tcPr>
          <w:p>
            <w:pPr>
              <w:spacing w:after="0"/>
              <w:rPr>
                <w:sz w:val="17"/>
                <w:szCs w:val="17"/>
                <w:color w:val="auto"/>
              </w:rPr>
            </w:pPr>
          </w:p>
        </w:tc>
        <w:tc>
          <w:tcPr>
            <w:tcW w:w="10060" w:type="dxa"/>
            <w:vAlign w:val="bottom"/>
            <w:tcBorders>
              <w:top w:val="single" w:sz="8" w:color="0000FF"/>
            </w:tcBorders>
            <w:gridSpan w:val="39"/>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December 16, 2021).</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8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Commercial Supply Agreement, dated as of August 8, 2023, by and between the Registrant and ICE S.p.A. (formerly Prodotti Chimici e</w:t>
              </w:r>
            </w:hyperlink>
          </w:p>
        </w:tc>
        <w:tc>
          <w:tcPr>
            <w:tcW w:w="22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Alimentari S.p.A.) (Incorporated by reference to Exhibit 10.1 to the Registrant’s Quarterly Report on form 10-Q filed with the Securities</w:t>
              </w:r>
            </w:hyperlink>
          </w:p>
        </w:tc>
        <w:tc>
          <w:tcPr>
            <w:tcW w:w="20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and Exchange Commission on August 10, 2023).</w:t>
              </w:r>
            </w:hyperlink>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5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List of Subsidiaries of Registrant.</w:t>
            </w:r>
          </w:p>
        </w:tc>
        <w:tc>
          <w:tcPr>
            <w:tcW w:w="6540" w:type="dxa"/>
            <w:vAlign w:val="bottom"/>
            <w:gridSpan w:val="29"/>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440" w:type="dxa"/>
            <w:vAlign w:val="bottom"/>
            <w:tcBorders>
              <w:right w:val="single" w:sz="8" w:color="0000EE"/>
            </w:tcBorders>
            <w:gridSpan w:val="6"/>
            <w:shd w:val="clear" w:color="auto" w:fill="0000FF"/>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r>
      <w:tr>
        <w:trPr>
          <w:trHeight w:val="20"/>
        </w:trPr>
        <w:tc>
          <w:tcPr>
            <w:tcW w:w="1160" w:type="dxa"/>
            <w:vAlign w:val="bottom"/>
          </w:tcPr>
          <w:p>
            <w:pPr>
              <w:spacing w:after="0" w:line="20" w:lineRule="exact"/>
              <w:rPr>
                <w:sz w:val="1"/>
                <w:szCs w:val="1"/>
                <w:color w:val="auto"/>
              </w:rPr>
            </w:pPr>
          </w:p>
        </w:tc>
        <w:tc>
          <w:tcPr>
            <w:tcW w:w="5000" w:type="dxa"/>
            <w:vAlign w:val="bottom"/>
            <w:tcBorders>
              <w:right w:val="single" w:sz="8" w:color="0000FF"/>
            </w:tcBorders>
            <w:gridSpan w:val="14"/>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Co-Principal Executive Officer Pursuant to Rules 13a-14(a) and 15d-14(a) under the Securities Exchange Act of 1934, as</w:t>
            </w:r>
          </w:p>
        </w:tc>
        <w:tc>
          <w:tcPr>
            <w:tcW w:w="1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5000" w:type="dxa"/>
            <w:vAlign w:val="bottom"/>
            <w:tcBorders>
              <w:right w:val="single" w:sz="8" w:color="0000EE"/>
            </w:tcBorders>
            <w:gridSpan w:val="14"/>
            <w:shd w:val="clear" w:color="auto" w:fill="0000FF"/>
          </w:tcPr>
          <w:p>
            <w:pPr>
              <w:spacing w:after="0" w:line="20" w:lineRule="exact"/>
              <w:rPr>
                <w:sz w:val="1"/>
                <w:szCs w:val="1"/>
                <w:color w:val="auto"/>
              </w:rPr>
            </w:pPr>
          </w:p>
        </w:tc>
        <w:tc>
          <w:tcPr>
            <w:tcW w:w="4600" w:type="dxa"/>
            <w:vAlign w:val="bottom"/>
            <w:gridSpan w:val="13"/>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Co-Principal Executive Officer Pursuant to Rules 13a-14(a) and 15d-14(a) under the Securities Exchange Act of 1934, as</w:t>
            </w:r>
          </w:p>
        </w:tc>
        <w:tc>
          <w:tcPr>
            <w:tcW w:w="1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5000" w:type="dxa"/>
            <w:vAlign w:val="bottom"/>
            <w:tcBorders>
              <w:right w:val="single" w:sz="8" w:color="0000EE"/>
            </w:tcBorders>
            <w:gridSpan w:val="14"/>
            <w:shd w:val="clear" w:color="auto" w:fill="0000FF"/>
          </w:tcPr>
          <w:p>
            <w:pPr>
              <w:spacing w:after="0" w:line="20" w:lineRule="exact"/>
              <w:rPr>
                <w:sz w:val="1"/>
                <w:szCs w:val="1"/>
                <w:color w:val="auto"/>
              </w:rPr>
            </w:pPr>
          </w:p>
        </w:tc>
        <w:tc>
          <w:tcPr>
            <w:tcW w:w="4600" w:type="dxa"/>
            <w:vAlign w:val="bottom"/>
            <w:gridSpan w:val="13"/>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96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40"/>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560"/>
        </w:trPr>
        <w:tc>
          <w:tcPr>
            <w:tcW w:w="1160" w:type="dxa"/>
            <w:vAlign w:val="bottom"/>
          </w:tcPr>
          <w:p>
            <w:pPr>
              <w:spacing w:after="0"/>
              <w:rPr>
                <w:sz w:val="24"/>
                <w:szCs w:val="24"/>
                <w:color w:val="auto"/>
              </w:rPr>
            </w:pPr>
          </w:p>
        </w:tc>
        <w:tc>
          <w:tcPr>
            <w:tcW w:w="4740" w:type="dxa"/>
            <w:vAlign w:val="bottom"/>
            <w:tcBorders>
              <w:top w:val="single" w:sz="8" w:color="0000FF"/>
            </w:tcBorders>
            <w:gridSpan w:val="13"/>
          </w:tcPr>
          <w:p>
            <w:pPr>
              <w:ind w:left="432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1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32.1</w:t>
            </w:r>
          </w:p>
        </w:tc>
        <w:tc>
          <w:tcPr>
            <w:tcW w:w="60" w:type="dxa"/>
            <w:vAlign w:val="bottom"/>
          </w:tcPr>
          <w:p>
            <w:pPr>
              <w:jc w:val="center"/>
              <w:spacing w:after="0"/>
              <w:rPr>
                <w:sz w:val="20"/>
                <w:szCs w:val="20"/>
                <w:color w:val="auto"/>
              </w:rPr>
            </w:pPr>
            <w:r>
              <w:rPr>
                <w:rFonts w:ascii="Times New Roman" w:cs="Times New Roman" w:eastAsia="Times New Roman" w:hAnsi="Times New Roman"/>
                <w:sz w:val="12"/>
                <w:szCs w:val="12"/>
                <w:color w:val="auto"/>
                <w:strike w:val="1"/>
                <w:w w:val="87"/>
              </w:rPr>
              <w:t>+</w:t>
            </w:r>
          </w:p>
        </w:tc>
        <w:tc>
          <w:tcPr>
            <w:tcW w:w="760" w:type="dxa"/>
            <w:vAlign w:val="bottom"/>
          </w:tcPr>
          <w:p>
            <w:pPr>
              <w:spacing w:after="0"/>
              <w:rPr>
                <w:sz w:val="18"/>
                <w:szCs w:val="18"/>
                <w:color w:val="auto"/>
              </w:rPr>
            </w:pPr>
          </w:p>
        </w:tc>
        <w:tc>
          <w:tcPr>
            <w:tcW w:w="9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Co-Principal Executive Officer Pursuant to 18 U.S.C. Section 1350, as Adopted Pursuant to Section 906 of the Sarbanes-</w:t>
            </w:r>
          </w:p>
        </w:tc>
        <w:tc>
          <w:tcPr>
            <w:tcW w:w="160" w:type="dxa"/>
            <w:vAlign w:val="bottom"/>
          </w:tcPr>
          <w:p>
            <w:pPr>
              <w:spacing w:after="0"/>
              <w:rPr>
                <w:sz w:val="18"/>
                <w:szCs w:val="18"/>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620" w:type="dxa"/>
            <w:vAlign w:val="bottom"/>
            <w:gridSpan w:val="3"/>
          </w:tcPr>
          <w:p>
            <w:pPr>
              <w:spacing w:after="0"/>
              <w:rPr>
                <w:sz w:val="17"/>
                <w:szCs w:val="17"/>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32.2</w:t>
            </w:r>
          </w:p>
        </w:tc>
        <w:tc>
          <w:tcPr>
            <w:tcW w:w="60" w:type="dxa"/>
            <w:vAlign w:val="bottom"/>
          </w:tcPr>
          <w:p>
            <w:pPr>
              <w:jc w:val="center"/>
              <w:spacing w:after="0"/>
              <w:rPr>
                <w:sz w:val="20"/>
                <w:szCs w:val="20"/>
                <w:color w:val="auto"/>
              </w:rPr>
            </w:pPr>
            <w:r>
              <w:rPr>
                <w:rFonts w:ascii="Times New Roman" w:cs="Times New Roman" w:eastAsia="Times New Roman" w:hAnsi="Times New Roman"/>
                <w:sz w:val="12"/>
                <w:szCs w:val="12"/>
                <w:color w:val="auto"/>
                <w:strike w:val="1"/>
                <w:w w:val="87"/>
              </w:rPr>
              <w:t>+</w:t>
            </w:r>
          </w:p>
        </w:tc>
        <w:tc>
          <w:tcPr>
            <w:tcW w:w="760" w:type="dxa"/>
            <w:vAlign w:val="bottom"/>
          </w:tcPr>
          <w:p>
            <w:pPr>
              <w:spacing w:after="0"/>
              <w:rPr>
                <w:sz w:val="24"/>
                <w:szCs w:val="24"/>
                <w:color w:val="auto"/>
              </w:rPr>
            </w:pPr>
          </w:p>
        </w:tc>
        <w:tc>
          <w:tcPr>
            <w:tcW w:w="9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Co-Principal Executive Officer Pursuant to 18 U.S.C. Section 1350, as Adopted Pursuant to Section 906 of the Sarbanes-</w:t>
            </w:r>
          </w:p>
        </w:tc>
        <w:tc>
          <w:tcPr>
            <w:tcW w:w="16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620" w:type="dxa"/>
            <w:vAlign w:val="bottom"/>
            <w:gridSpan w:val="3"/>
          </w:tcPr>
          <w:p>
            <w:pPr>
              <w:spacing w:after="0"/>
              <w:rPr>
                <w:sz w:val="17"/>
                <w:szCs w:val="17"/>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32.3</w:t>
            </w:r>
          </w:p>
        </w:tc>
        <w:tc>
          <w:tcPr>
            <w:tcW w:w="60" w:type="dxa"/>
            <w:vAlign w:val="bottom"/>
          </w:tcPr>
          <w:p>
            <w:pPr>
              <w:jc w:val="center"/>
              <w:spacing w:after="0"/>
              <w:rPr>
                <w:sz w:val="20"/>
                <w:szCs w:val="20"/>
                <w:color w:val="auto"/>
              </w:rPr>
            </w:pPr>
            <w:r>
              <w:rPr>
                <w:rFonts w:ascii="Times New Roman" w:cs="Times New Roman" w:eastAsia="Times New Roman" w:hAnsi="Times New Roman"/>
                <w:sz w:val="12"/>
                <w:szCs w:val="12"/>
                <w:color w:val="auto"/>
                <w:strike w:val="1"/>
                <w:w w:val="87"/>
              </w:rPr>
              <w:t>+</w:t>
            </w:r>
          </w:p>
        </w:tc>
        <w:tc>
          <w:tcPr>
            <w:tcW w:w="76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100" w:type="dxa"/>
            <w:vAlign w:val="bottom"/>
            <w:gridSpan w:val="5"/>
          </w:tcPr>
          <w:p>
            <w:pPr>
              <w:spacing w:after="0"/>
              <w:rPr>
                <w:sz w:val="17"/>
                <w:szCs w:val="17"/>
                <w:color w:val="auto"/>
              </w:rPr>
            </w:pPr>
          </w:p>
        </w:tc>
      </w:tr>
      <w:tr>
        <w:trPr>
          <w:trHeight w:val="30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97.1*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Compensation Recovery Policy</w:t>
            </w: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Borders>
              <w:right w:val="single" w:sz="8" w:color="0000EE"/>
            </w:tcBorders>
            <w:gridSpan w:val="5"/>
            <w:shd w:val="clear" w:color="auto" w:fill="0000FF"/>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r>
      <w:tr>
        <w:trPr>
          <w:trHeight w:val="326"/>
        </w:trPr>
        <w:tc>
          <w:tcPr>
            <w:tcW w:w="11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89" w:lineRule="exact"/>
        <w:rPr>
          <w:sz w:val="20"/>
          <w:szCs w:val="20"/>
          <w:color w:val="auto"/>
        </w:rPr>
      </w:pPr>
    </w:p>
    <w:p>
      <w:pPr>
        <w:ind w:right="4260" w:firstLine="21"/>
        <w:spacing w:after="0" w:line="346" w:lineRule="auto"/>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20" w:firstLine="8"/>
        <w:spacing w:after="0" w:line="241" w:lineRule="auto"/>
        <w:tabs>
          <w:tab w:leader="none" w:pos="98"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8"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Portions of this exhibit (indicated by asterisks) have been omitted in accordance with Item 601(b)(10) of Regulation S-K.</w:t>
      </w:r>
    </w:p>
    <w:p>
      <w:pPr>
        <w:spacing w:after="0" w:line="98" w:lineRule="exact"/>
        <w:rPr>
          <w:sz w:val="20"/>
          <w:szCs w:val="20"/>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sz w:val="20"/>
          <w:szCs w:val="20"/>
          <w:color w:val="auto"/>
        </w:rPr>
      </w:pPr>
    </w:p>
    <w:p>
      <w:pPr>
        <w:ind w:left="520" w:right="180"/>
        <w:spacing w:after="0" w:line="260" w:lineRule="auto"/>
        <w:rPr>
          <w:sz w:val="20"/>
          <w:szCs w:val="20"/>
          <w:color w:val="auto"/>
        </w:rPr>
      </w:pPr>
      <w:r>
        <w:rPr>
          <w:rFonts w:ascii="Times New Roman" w:cs="Times New Roman" w:eastAsia="Times New Roman" w:hAnsi="Times New Roman"/>
          <w:sz w:val="18"/>
          <w:szCs w:val="18"/>
          <w:color w:val="auto"/>
        </w:rPr>
        <w:t>No financial statements have been submitted because they are not required or are not applicable or because the information required is included in the consolidated financial statements or the notes thereto.</w:t>
      </w:r>
    </w:p>
    <w:p>
      <w:pPr>
        <w:spacing w:after="0" w:line="3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2" w:right="37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520" w:firstLine="63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255" w:lineRule="exact"/>
        <w:rPr>
          <w:sz w:val="20"/>
          <w:szCs w:val="20"/>
          <w:color w:val="auto"/>
        </w:rPr>
      </w:pPr>
    </w:p>
    <w:p>
      <w:pPr>
        <w:ind w:left="20"/>
        <w:spacing w:after="0"/>
        <w:tabs>
          <w:tab w:leader="none" w:pos="5160" w:val="left"/>
          <w:tab w:leader="none" w:pos="79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B.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Joshua B. Cohen</w:t>
      </w:r>
    </w:p>
    <w:p>
      <w:pPr>
        <w:spacing w:after="0" w:line="2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Co-Chief Executive Officer</w:t>
      </w:r>
    </w:p>
    <w:p>
      <w:pPr>
        <w:spacing w:after="0" w:line="247" w:lineRule="exact"/>
        <w:rPr>
          <w:sz w:val="20"/>
          <w:szCs w:val="20"/>
          <w:color w:val="auto"/>
        </w:rPr>
      </w:pPr>
    </w:p>
    <w:p>
      <w:pPr>
        <w:ind w:left="20"/>
        <w:spacing w:after="0"/>
        <w:tabs>
          <w:tab w:leader="none" w:pos="5160" w:val="left"/>
          <w:tab w:leader="none" w:pos="80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B.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Justin B. Klee</w:t>
      </w:r>
    </w:p>
    <w:p>
      <w:pPr>
        <w:spacing w:after="0" w:line="2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Co-Chief Executive Officer</w:t>
      </w:r>
    </w:p>
    <w:p>
      <w:pPr>
        <w:spacing w:after="0" w:line="233" w:lineRule="exact"/>
        <w:rPr>
          <w:sz w:val="20"/>
          <w:szCs w:val="20"/>
          <w:color w:val="auto"/>
        </w:rPr>
      </w:pPr>
    </w:p>
    <w:p>
      <w:pPr>
        <w:ind w:right="120" w:firstLine="63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8" w:right="339" w:bottom="1440" w:gutter="0" w:footer="0" w:header="0"/>
        </w:sectPr>
      </w:pPr>
    </w:p>
    <w:p>
      <w:pPr>
        <w:spacing w:after="0" w:line="15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54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Joshua B. Cohen</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Joshua B.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Justin B. Klee</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Justin B.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 James M. Frates</w:t>
      </w:r>
    </w:p>
    <w:p>
      <w:pPr>
        <w:spacing w:after="0" w:line="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James M.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George Mclean Milne Jr.</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George Mclean Milne Jr.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354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4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Paul Fonteyne</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Paul Fonteyne, M.S.,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Daphne Quimi</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Karen Firestone</w:t>
      </w:r>
    </w:p>
    <w:p>
      <w:pPr>
        <w:spacing w:after="0" w:line="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Karen Firestone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20" w:type="dxa"/>
            <w:vAlign w:val="bottom"/>
          </w:tcPr>
          <w:p>
            <w:pPr>
              <w:spacing w:after="0"/>
              <w:rPr>
                <w:sz w:val="21"/>
                <w:szCs w:val="21"/>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Director (Principal Executive</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20" w:type="dxa"/>
            <w:vAlign w:val="bottom"/>
          </w:tcPr>
          <w:p>
            <w:pPr>
              <w:spacing w:after="0"/>
              <w:rPr>
                <w:sz w:val="20"/>
                <w:szCs w:val="20"/>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669"/>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Director (Principal Executive</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20" w:type="dxa"/>
            <w:vAlign w:val="bottom"/>
          </w:tcPr>
          <w:p>
            <w:pPr>
              <w:spacing w:after="0"/>
              <w:rPr>
                <w:sz w:val="20"/>
                <w:szCs w:val="20"/>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66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20" w:type="dxa"/>
            <w:vAlign w:val="bottom"/>
          </w:tcPr>
          <w:p>
            <w:pPr>
              <w:spacing w:after="0"/>
              <w:rPr>
                <w:sz w:val="20"/>
                <w:szCs w:val="20"/>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70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70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70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701"/>
        </w:trPr>
        <w:tc>
          <w:tcPr>
            <w:tcW w:w="48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February 22, 2024</w:t>
            </w:r>
          </w:p>
        </w:tc>
      </w:tr>
    </w:tbl>
    <w:p>
      <w:pPr>
        <w:spacing w:after="0" w:line="398" w:lineRule="exact"/>
        <w:rPr>
          <w:sz w:val="20"/>
          <w:szCs w:val="20"/>
          <w:color w:val="auto"/>
        </w:rPr>
      </w:pPr>
    </w:p>
    <w:p>
      <w:pPr>
        <w:sectPr>
          <w:pgSz w:w="11900" w:h="16838" w:orient="portrait"/>
          <w:cols w:equalWidth="0" w:num="2">
            <w:col w:w="3120" w:space="720"/>
            <w:col w:w="7400"/>
          </w:cols>
          <w:pgMar w:left="320" w:top="10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Auditor ID: 34)</w:t>
            </w:r>
          </w:p>
        </w:tc>
        <w:tc>
          <w:tcPr>
            <w:tcW w:w="3140" w:type="dxa"/>
            <w:vAlign w:val="bottom"/>
            <w:gridSpan w:val="2"/>
          </w:tcPr>
          <w:p>
            <w:pPr>
              <w:spacing w:after="0"/>
              <w:rPr>
                <w:sz w:val="17"/>
                <w:szCs w:val="17"/>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9"/>
        </w:trPr>
        <w:tc>
          <w:tcPr>
            <w:tcW w:w="20" w:type="dxa"/>
            <w:vAlign w:val="bottom"/>
          </w:tcPr>
          <w:p>
            <w:pPr>
              <w:spacing w:after="0"/>
              <w:rPr>
                <w:sz w:val="18"/>
                <w:szCs w:val="18"/>
                <w:color w:val="auto"/>
              </w:rPr>
            </w:pPr>
          </w:p>
        </w:tc>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8"/>
                <w:szCs w:val="18"/>
                <w:color w:val="auto"/>
              </w:rPr>
            </w:pPr>
          </w:p>
        </w:tc>
        <w:tc>
          <w:tcPr>
            <w:tcW w:w="6400" w:type="dxa"/>
            <w:vAlign w:val="bottom"/>
            <w:gridSpan w:val="6"/>
          </w:tcPr>
          <w:p>
            <w:pPr>
              <w:spacing w:after="0"/>
              <w:rPr>
                <w:sz w:val="18"/>
                <w:szCs w:val="18"/>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9"/>
        </w:trPr>
        <w:tc>
          <w:tcPr>
            <w:tcW w:w="20" w:type="dxa"/>
            <w:vAlign w:val="bottom"/>
          </w:tcPr>
          <w:p>
            <w:pPr>
              <w:spacing w:after="0"/>
              <w:rPr>
                <w:sz w:val="18"/>
                <w:szCs w:val="18"/>
                <w:color w:val="auto"/>
              </w:rPr>
            </w:pPr>
          </w:p>
        </w:tc>
        <w:tc>
          <w:tcPr>
            <w:tcW w:w="4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5000" w:type="dxa"/>
            <w:vAlign w:val="bottom"/>
            <w:gridSpan w:val="3"/>
          </w:tcPr>
          <w:p>
            <w:pPr>
              <w:spacing w:after="0"/>
              <w:rPr>
                <w:sz w:val="18"/>
                <w:szCs w:val="18"/>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9"/>
        </w:trPr>
        <w:tc>
          <w:tcPr>
            <w:tcW w:w="20" w:type="dxa"/>
            <w:vAlign w:val="bottom"/>
          </w:tcPr>
          <w:p>
            <w:pPr>
              <w:spacing w:after="0"/>
              <w:rPr>
                <w:sz w:val="18"/>
                <w:szCs w:val="18"/>
                <w:color w:val="auto"/>
              </w:rPr>
            </w:pPr>
          </w:p>
        </w:tc>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9"/>
        </w:trPr>
        <w:tc>
          <w:tcPr>
            <w:tcW w:w="20" w:type="dxa"/>
            <w:vAlign w:val="bottom"/>
          </w:tcPr>
          <w:p>
            <w:pPr>
              <w:spacing w:after="0"/>
              <w:rPr>
                <w:sz w:val="18"/>
                <w:szCs w:val="18"/>
                <w:color w:val="auto"/>
              </w:rPr>
            </w:pPr>
          </w:p>
        </w:tc>
        <w:tc>
          <w:tcPr>
            <w:tcW w:w="75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40" w:type="dxa"/>
            <w:vAlign w:val="bottom"/>
          </w:tcPr>
          <w:p>
            <w:pPr>
              <w:spacing w:after="0"/>
              <w:rPr>
                <w:sz w:val="18"/>
                <w:szCs w:val="18"/>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F-9</w:t>
            </w:r>
          </w:p>
        </w:tc>
      </w:tr>
      <w:tr>
        <w:trPr>
          <w:trHeight w:val="681"/>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50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F-1</w:t>
            </w:r>
          </w:p>
        </w:tc>
        <w:tc>
          <w:tcPr>
            <w:tcW w:w="198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3" w:name="page144"/>
    <w:bookmarkEnd w:id="14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Amylyx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Amylyx Pharmaceuticals, Inc. and subsidiaries (the “Company”) as of December 31, 2023 and 2022, the related consolidated statements of operations, comprehensive income (loss), redeemable convertible preferred stock and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22, 2024, expressed an unqualified opinion on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 related to gross-to-net (“GTN”) adjustments - Refer to Notes 2 and 3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related to certain GTN adjustments. Components of GTN adjustments include trade discounts and allowances, product returns, third-party payor rebates, and other allowances that are offered within contracts between the Company, its customers and payors relating to the sale of products. These GTN adjustments are based on the amounts earned, or to be claimed on the related sales, and are classified as reductions of accounts receivable (if the amount is payable to the customer) or a current liability (if the amount is payable to a party other than a customer). Trade discounts and allowances, provider chargebacks and returns are recorded as reductions of accounts receivables, net on the consolidated balance sheets. Government and other rebates are recorded as a component of accrued expenses on the consolidated balance sheets.</w:t>
      </w:r>
    </w:p>
    <w:p>
      <w:pPr>
        <w:spacing w:after="0" w:line="18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Certain of the GTN adjustments involve the use of significant management assumptions and judgments. These significant assumptions and judgments include consideration of historical experience, payer channel mix (e.g., Medicare or Medicaid), current contract prices under applicable programs, unbilled claims and processing time lags and inventory levels in the distribution channel.</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144" w:name="page145"/>
    <w:bookmarkEnd w:id="144"/>
    <w:p>
      <w:pPr>
        <w:ind w:right="460"/>
        <w:spacing w:after="0" w:line="281" w:lineRule="auto"/>
        <w:rPr>
          <w:sz w:val="20"/>
          <w:szCs w:val="20"/>
          <w:color w:val="auto"/>
        </w:rPr>
      </w:pPr>
      <w:r>
        <w:rPr>
          <w:rFonts w:ascii="Times New Roman" w:cs="Times New Roman" w:eastAsia="Times New Roman" w:hAnsi="Times New Roman"/>
          <w:sz w:val="18"/>
          <w:szCs w:val="18"/>
          <w:color w:val="auto"/>
        </w:rPr>
        <w:t>Given the complexity involved, we identified management’s estimation of significant assumptions as a critical audit matter. Auditing these significant assumptions involved especially subjective judgment and audit effort.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GTN adjustments included the following, among others:</w:t>
      </w:r>
    </w:p>
    <w:p>
      <w:pPr>
        <w:spacing w:after="0" w:line="117" w:lineRule="exact"/>
        <w:rPr>
          <w:sz w:val="20"/>
          <w:szCs w:val="20"/>
          <w:color w:val="auto"/>
        </w:rPr>
      </w:pPr>
    </w:p>
    <w:p>
      <w:pPr>
        <w:ind w:left="1020" w:hanging="504"/>
        <w:spacing w:after="0" w:line="28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development of the Company’s significant assumptions utilized within the Company’s GTN model.</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consistency of the Company’s methods and significant assumptions used to calculate the GTN adjustments.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significant assumptions used to calculate the GTN adjustments by:</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Performing sensitivity analyses addressing significant assumptions and subjective inputs utilized in the calculation.</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Reviewing customer and third-party payor contracts and modifications.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Reviewing the terms of the discounts and rebates associated with the governmental programs the Company participates in.</w:t>
      </w:r>
    </w:p>
    <w:p>
      <w:pPr>
        <w:spacing w:after="0" w:line="116" w:lineRule="exact"/>
        <w:rPr>
          <w:rFonts w:ascii="Times New Roman" w:cs="Times New Roman" w:eastAsia="Times New Roman" w:hAnsi="Times New Roman"/>
          <w:sz w:val="18"/>
          <w:szCs w:val="18"/>
          <w:color w:val="auto"/>
        </w:rPr>
      </w:pPr>
    </w:p>
    <w:p>
      <w:pPr>
        <w:ind w:left="154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oDeveloping a range of independent expectations of the significant assumptions, including a comparison of contract prices under applicable programs to those used in management’s calculations.</w:t>
      </w:r>
    </w:p>
    <w:p>
      <w:pPr>
        <w:spacing w:after="0" w:line="54" w:lineRule="exact"/>
        <w:rPr>
          <w:rFonts w:ascii="Times New Roman" w:cs="Times New Roman" w:eastAsia="Times New Roman" w:hAnsi="Times New Roman"/>
          <w:sz w:val="18"/>
          <w:szCs w:val="18"/>
          <w:color w:val="auto"/>
        </w:rPr>
      </w:pPr>
    </w:p>
    <w:p>
      <w:pPr>
        <w:ind w:left="154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oPerforming lookback analyses by comparing amounts actually invoiced to and paid by the Company to the corresponding GTN adjustment recorded by the Company.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GTN model.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45" w:name="page146"/>
    <w:bookmarkEnd w:id="145"/>
    <w:p>
      <w:pPr>
        <w:ind w:left="4340"/>
        <w:spacing w:after="0"/>
        <w:rPr>
          <w:sz w:val="20"/>
          <w:szCs w:val="20"/>
          <w:color w:val="auto"/>
        </w:rPr>
      </w:pPr>
      <w:r>
        <w:rPr>
          <w:rFonts w:ascii="Times New Roman" w:cs="Times New Roman" w:eastAsia="Times New Roman" w:hAnsi="Times New Roman"/>
          <w:sz w:val="14"/>
          <w:szCs w:val="14"/>
          <w:b w:val="1"/>
          <w:bCs w:val="1"/>
          <w:color w:val="auto"/>
        </w:rPr>
        <w:t>AMYLYX PHARMACEUTICALS, INC.</w:t>
      </w:r>
    </w:p>
    <w:p>
      <w:pPr>
        <w:ind w:left="436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170,201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201,161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284,419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40,050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00" w:type="dxa"/>
            <w:vAlign w:val="bottom"/>
          </w:tcPr>
          <w:p>
            <w:pPr>
              <w:spacing w:after="0"/>
              <w:rPr>
                <w:sz w:val="19"/>
                <w:szCs w:val="19"/>
                <w:color w:val="auto"/>
              </w:rPr>
            </w:pPr>
          </w:p>
        </w:tc>
      </w:tr>
      <w:tr>
        <w:trPr>
          <w:trHeight w:val="232"/>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14,931</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464,666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382,133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inventories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517,454</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391,453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38,312</w:t>
            </w:r>
          </w:p>
        </w:tc>
        <w:tc>
          <w:tcPr>
            <w:tcW w:w="100" w:type="dxa"/>
            <w:vAlign w:val="bottom"/>
          </w:tcPr>
          <w:p>
            <w:pPr>
              <w:spacing w:after="0"/>
              <w:rPr>
                <w:sz w:val="19"/>
                <w:szCs w:val="19"/>
                <w:color w:val="auto"/>
              </w:rPr>
            </w:pPr>
          </w:p>
        </w:tc>
      </w:tr>
      <w:tr>
        <w:trPr>
          <w:trHeight w:val="232"/>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82,042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46,609</w:t>
            </w:r>
          </w:p>
        </w:tc>
        <w:tc>
          <w:tcPr>
            <w:tcW w:w="100" w:type="dxa"/>
            <w:vAlign w:val="bottom"/>
          </w:tcPr>
          <w:p>
            <w:pPr>
              <w:spacing w:after="0"/>
              <w:rPr>
                <w:sz w:val="19"/>
                <w:szCs w:val="19"/>
                <w:color w:val="auto"/>
              </w:rPr>
            </w:pPr>
          </w:p>
        </w:tc>
      </w:tr>
      <w:tr>
        <w:trPr>
          <w:trHeight w:val="23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84,022</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50,846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67,707,432 and 66,512,011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outstanding as of December 31, 2023 and 2022, respectively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738,177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694,906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(304,949 )</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(354,220 )</w:t>
            </w:r>
          </w:p>
        </w:tc>
      </w:tr>
      <w:tr>
        <w:trPr>
          <w:trHeight w:val="232"/>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(86 )</w:t>
            </w:r>
          </w:p>
        </w:tc>
      </w:tr>
      <w:tr>
        <w:trPr>
          <w:trHeight w:val="223"/>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433,432</w:t>
            </w:r>
          </w:p>
        </w:tc>
        <w:tc>
          <w:tcPr>
            <w:tcW w:w="28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340,607</w:t>
            </w:r>
          </w:p>
        </w:tc>
        <w:tc>
          <w:tcPr>
            <w:tcW w:w="100" w:type="dxa"/>
            <w:vAlign w:val="bottom"/>
            <w:tcBorders>
              <w:top w:val="single" w:sz="8" w:color="CFF0FC"/>
            </w:tcBorders>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equity</w:t>
            </w:r>
          </w:p>
        </w:tc>
        <w:tc>
          <w:tcPr>
            <w:tcW w:w="94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517,454</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391,453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-3732530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-3732530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-1943100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-1643380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46" w:name="page147"/>
    <w:bookmarkEnd w:id="1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380,786</w:t>
            </w:r>
          </w:p>
        </w:tc>
        <w:tc>
          <w:tcPr>
            <w:tcW w:w="8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380,786</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FF0FC"/>
            </w:tcBorders>
          </w:tcPr>
          <w:p>
            <w:pPr>
              <w:spacing w:after="0"/>
              <w:rPr>
                <w:sz w:val="20"/>
                <w:szCs w:val="20"/>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44,040</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127,128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38,933</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341,984</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223,571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(201,341 )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(82,688 )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(5,228 )</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(5,243 )</w:t>
            </w: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(197,601 )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(87,931 )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8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(198,375 )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(87,931 )</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(13.35 )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67,234,465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58,495,587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6,586,349</w:t>
            </w:r>
          </w:p>
        </w:tc>
        <w:tc>
          <w:tcPr>
            <w:tcW w:w="100" w:type="dxa"/>
            <w:vAlign w:val="bottom"/>
            <w:shd w:val="clear" w:color="auto" w:fill="CFF0FC"/>
          </w:tcPr>
          <w:p>
            <w:pPr>
              <w:spacing w:after="0"/>
              <w:rPr>
                <w:sz w:val="21"/>
                <w:szCs w:val="21"/>
                <w:color w:val="auto"/>
              </w:rPr>
            </w:pP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69,991,340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58,495,587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6,586,349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-3315970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-3315970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-3315970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-2366010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-2366010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-2366010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-1423670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-1423670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-1106805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-1106805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-1106805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7" w:name="page148"/>
    <w:bookmarkEnd w:id="147"/>
    <w:p>
      <w:pPr>
        <w:jc w:val="center"/>
        <w:ind w:left="340" w:right="2580"/>
        <w:spacing w:after="0" w:line="277" w:lineRule="auto"/>
        <w:rPr>
          <w:sz w:val="20"/>
          <w:szCs w:val="20"/>
          <w:color w:val="auto"/>
        </w:rPr>
      </w:pPr>
      <w:r>
        <w:rPr>
          <w:rFonts w:ascii="Times New Roman" w:cs="Times New Roman" w:eastAsia="Times New Roman" w:hAnsi="Times New Roman"/>
          <w:sz w:val="18"/>
          <w:szCs w:val="18"/>
          <w:b w:val="1"/>
          <w:bCs w:val="1"/>
          <w:color w:val="auto"/>
        </w:rPr>
        <w:t>AMYLYX PHARMACEUTICALS, INC. CONSOLIDATED STATEMENTS OF COMPREHENSIVE INCOME (LOSS)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(198,375 )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(87,931 )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investments held</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(95 )</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49,554</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(198,470 )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(87,922 )</w:t>
            </w:r>
          </w:p>
        </w:tc>
      </w:tr>
      <w:tr>
        <w:trPr>
          <w:trHeight w:val="20"/>
        </w:trPr>
        <w:tc>
          <w:tcPr>
            <w:tcW w:w="6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8" w:name="page149"/>
    <w:bookmarkEnd w:id="1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1"/>
                <w:szCs w:val="11"/>
                <w:color w:val="auto"/>
              </w:rPr>
            </w:pPr>
          </w:p>
        </w:tc>
        <w:tc>
          <w:tcPr>
            <w:tcW w:w="132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5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600" w:type="dxa"/>
            <w:vAlign w:val="bottom"/>
          </w:tcPr>
          <w:p>
            <w:pPr>
              <w:spacing w:after="0"/>
              <w:rPr>
                <w:sz w:val="10"/>
                <w:szCs w:val="10"/>
                <w:color w:val="auto"/>
              </w:rPr>
            </w:pPr>
          </w:p>
        </w:tc>
        <w:tc>
          <w:tcPr>
            <w:tcW w:w="1320" w:type="dxa"/>
            <w:vAlign w:val="bottom"/>
            <w:gridSpan w:val="3"/>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5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8"/>
        </w:trPr>
        <w:tc>
          <w:tcPr>
            <w:tcW w:w="2600" w:type="dxa"/>
            <w:vAlign w:val="bottom"/>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58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bottom w:val="single" w:sz="8" w:color="auto"/>
            </w:tcBorders>
            <w:gridSpan w:val="3"/>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39"/>
        </w:trPr>
        <w:tc>
          <w:tcPr>
            <w:tcW w:w="2600" w:type="dxa"/>
            <w:vAlign w:val="bottom"/>
          </w:tcPr>
          <w:p>
            <w:pPr>
              <w:spacing w:after="0"/>
              <w:rPr>
                <w:sz w:val="12"/>
                <w:szCs w:val="12"/>
                <w:color w:val="auto"/>
              </w:rPr>
            </w:pPr>
          </w:p>
        </w:tc>
        <w:tc>
          <w:tcPr>
            <w:tcW w:w="9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100" w:type="dxa"/>
            <w:vAlign w:val="bottom"/>
          </w:tcPr>
          <w:p>
            <w:pPr>
              <w:spacing w:after="0"/>
              <w:rPr>
                <w:sz w:val="12"/>
                <w:szCs w:val="12"/>
                <w:color w:val="auto"/>
              </w:rPr>
            </w:pPr>
          </w:p>
        </w:tc>
      </w:tr>
      <w:tr>
        <w:trPr>
          <w:trHeight w:val="14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January 1, 2021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20,786,444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72,062</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6,137,206</w:t>
            </w:r>
          </w:p>
        </w:tc>
        <w:tc>
          <w:tcPr>
            <w:tcW w:w="880" w:type="dxa"/>
            <w:vAlign w:val="bottom"/>
            <w:gridSpan w:val="2"/>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(67,914 )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(66,725 )</w:t>
            </w:r>
          </w:p>
        </w:tc>
      </w:tr>
      <w:tr>
        <w:trPr>
          <w:trHeight w:val="121"/>
        </w:trPr>
        <w:tc>
          <w:tcPr>
            <w:tcW w:w="26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Series C-1 redeemable convertible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net of issuance costs of $209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13,150,430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134,791</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Conversion of convertible notes and accrued interest</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6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into Series C-2 redeemable convertible preferred stock,</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of issuance cost of $50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3,170,585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32,498</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26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 upon exercise of stock</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883,281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tcPr>
          <w:p>
            <w:pPr>
              <w:spacing w:after="0"/>
              <w:rPr>
                <w:sz w:val="12"/>
                <w:szCs w:val="12"/>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3,136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3,136</w:t>
            </w:r>
          </w:p>
        </w:tc>
        <w:tc>
          <w:tcPr>
            <w:tcW w:w="100" w:type="dxa"/>
            <w:vAlign w:val="bottom"/>
            <w:shd w:val="clear" w:color="auto" w:fill="CFF0FC"/>
          </w:tcPr>
          <w:p>
            <w:pPr>
              <w:spacing w:after="0"/>
              <w:rPr>
                <w:sz w:val="13"/>
                <w:szCs w:val="13"/>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(87,931 )</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(87,931 )</w:t>
            </w:r>
          </w:p>
        </w:tc>
      </w:tr>
      <w:tr>
        <w:trPr>
          <w:trHeight w:val="20"/>
        </w:trPr>
        <w:tc>
          <w:tcPr>
            <w:tcW w:w="2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37,107,459</w:t>
            </w:r>
          </w:p>
        </w:tc>
        <w:tc>
          <w:tcPr>
            <w:tcW w:w="2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239,351</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7,020,487</w:t>
            </w:r>
          </w:p>
        </w:tc>
        <w:tc>
          <w:tcPr>
            <w:tcW w:w="200" w:type="dxa"/>
            <w:vAlign w:val="bottom"/>
          </w:tcPr>
          <w:p>
            <w:pPr>
              <w:spacing w:after="0"/>
              <w:rPr>
                <w:sz w:val="12"/>
                <w:szCs w:val="12"/>
                <w:color w:val="auto"/>
              </w:rPr>
            </w:pPr>
          </w:p>
        </w:tc>
        <w:tc>
          <w:tcPr>
            <w:tcW w:w="68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4,667</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(155,845 )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(151,168 )</w:t>
            </w:r>
          </w:p>
        </w:tc>
      </w:tr>
      <w:tr>
        <w:trPr>
          <w:trHeight w:val="20"/>
        </w:trPr>
        <w:tc>
          <w:tcPr>
            <w:tcW w:w="2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5"/>
        </w:trPr>
        <w:tc>
          <w:tcPr>
            <w:tcW w:w="2600" w:type="dxa"/>
            <w:vAlign w:val="bottom"/>
            <w:shd w:val="clear" w:color="auto" w:fill="CFF0FC"/>
          </w:tcPr>
          <w:p>
            <w:pPr>
              <w:ind w:left="20"/>
              <w:spacing w:after="0" w:line="105" w:lineRule="exact"/>
              <w:rPr>
                <w:sz w:val="20"/>
                <w:szCs w:val="20"/>
                <w:color w:val="auto"/>
              </w:rPr>
            </w:pPr>
            <w:r>
              <w:rPr>
                <w:rFonts w:ascii="Times New Roman" w:cs="Times New Roman" w:eastAsia="Times New Roman" w:hAnsi="Times New Roman"/>
                <w:sz w:val="11"/>
                <w:szCs w:val="11"/>
                <w:color w:val="auto"/>
              </w:rPr>
              <w:t>Conversion of preferred stock into common stock upon</w:t>
            </w: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initial public offering</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(37,107,459 )</w:t>
            </w:r>
          </w:p>
        </w:tc>
        <w:tc>
          <w:tcPr>
            <w:tcW w:w="1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(239,351 )</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39,474,330</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239,347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239,351</w:t>
            </w:r>
          </w:p>
        </w:tc>
        <w:tc>
          <w:tcPr>
            <w:tcW w:w="100" w:type="dxa"/>
            <w:vAlign w:val="bottom"/>
            <w:shd w:val="clear" w:color="auto" w:fill="CFF0FC"/>
          </w:tcPr>
          <w:p>
            <w:pPr>
              <w:spacing w:after="0"/>
              <w:rPr>
                <w:sz w:val="12"/>
                <w:szCs w:val="12"/>
                <w:color w:val="auto"/>
              </w:rPr>
            </w:pPr>
          </w:p>
        </w:tc>
      </w:tr>
      <w:tr>
        <w:trPr>
          <w:trHeight w:val="121"/>
        </w:trPr>
        <w:tc>
          <w:tcPr>
            <w:tcW w:w="26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 upon initial public offering,</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of issuance costs of $19,639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11,369,369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196,379</w:t>
            </w:r>
          </w:p>
        </w:tc>
        <w:tc>
          <w:tcPr>
            <w:tcW w:w="100" w:type="dxa"/>
            <w:vAlign w:val="bottom"/>
          </w:tcPr>
          <w:p>
            <w:pPr>
              <w:spacing w:after="0"/>
              <w:rPr>
                <w:sz w:val="12"/>
                <w:szCs w:val="12"/>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 stock upon follow-on offering, net</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of issuance costs of $15,719</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7,697,812</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230,611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230,612</w:t>
            </w:r>
          </w:p>
        </w:tc>
        <w:tc>
          <w:tcPr>
            <w:tcW w:w="100" w:type="dxa"/>
            <w:vAlign w:val="bottom"/>
            <w:shd w:val="clear" w:color="auto" w:fill="CFF0FC"/>
          </w:tcPr>
          <w:p>
            <w:pPr>
              <w:spacing w:after="0"/>
              <w:rPr>
                <w:sz w:val="12"/>
                <w:szCs w:val="12"/>
                <w:color w:val="auto"/>
              </w:rPr>
            </w:pPr>
          </w:p>
        </w:tc>
      </w:tr>
      <w:tr>
        <w:trPr>
          <w:trHeight w:val="121"/>
        </w:trPr>
        <w:tc>
          <w:tcPr>
            <w:tcW w:w="26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 upon exercise of stock</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950,013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2,189</w:t>
            </w:r>
          </w:p>
        </w:tc>
        <w:tc>
          <w:tcPr>
            <w:tcW w:w="100" w:type="dxa"/>
            <w:vAlign w:val="bottom"/>
          </w:tcPr>
          <w:p>
            <w:pPr>
              <w:spacing w:after="0"/>
              <w:rPr>
                <w:sz w:val="12"/>
                <w:szCs w:val="12"/>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21,714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21,714</w:t>
            </w:r>
          </w:p>
        </w:tc>
        <w:tc>
          <w:tcPr>
            <w:tcW w:w="100" w:type="dxa"/>
            <w:vAlign w:val="bottom"/>
            <w:shd w:val="clear" w:color="auto" w:fill="CFF0FC"/>
          </w:tcPr>
          <w:p>
            <w:pPr>
              <w:spacing w:after="0"/>
              <w:rPr>
                <w:sz w:val="13"/>
                <w:szCs w:val="13"/>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(95 )</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(95 )</w:t>
            </w: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(198,375 )</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(198,375 )</w:t>
            </w:r>
          </w:p>
        </w:tc>
      </w:tr>
      <w:tr>
        <w:trPr>
          <w:trHeight w:val="20"/>
        </w:trPr>
        <w:tc>
          <w:tcPr>
            <w:tcW w:w="2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66,512,011</w:t>
            </w:r>
          </w:p>
        </w:tc>
        <w:tc>
          <w:tcPr>
            <w:tcW w:w="200" w:type="dxa"/>
            <w:vAlign w:val="bottom"/>
          </w:tcPr>
          <w:p>
            <w:pPr>
              <w:spacing w:after="0"/>
              <w:rPr>
                <w:sz w:val="12"/>
                <w:szCs w:val="12"/>
                <w:color w:val="auto"/>
              </w:rPr>
            </w:pPr>
          </w:p>
        </w:tc>
        <w:tc>
          <w:tcPr>
            <w:tcW w:w="68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694,906</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(86 )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(354,220 )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340,607</w:t>
            </w:r>
          </w:p>
        </w:tc>
        <w:tc>
          <w:tcPr>
            <w:tcW w:w="100" w:type="dxa"/>
            <w:vAlign w:val="bottom"/>
          </w:tcPr>
          <w:p>
            <w:pPr>
              <w:spacing w:after="0"/>
              <w:rPr>
                <w:sz w:val="12"/>
                <w:szCs w:val="12"/>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5"/>
        </w:trPr>
        <w:tc>
          <w:tcPr>
            <w:tcW w:w="2600" w:type="dxa"/>
            <w:vAlign w:val="bottom"/>
            <w:shd w:val="clear" w:color="auto" w:fill="CFF0FC"/>
          </w:tcPr>
          <w:p>
            <w:pPr>
              <w:ind w:left="20"/>
              <w:spacing w:after="0" w:line="105" w:lineRule="exact"/>
              <w:rPr>
                <w:sz w:val="20"/>
                <w:szCs w:val="20"/>
                <w:color w:val="auto"/>
              </w:rPr>
            </w:pPr>
            <w:r>
              <w:rPr>
                <w:rFonts w:ascii="Times New Roman" w:cs="Times New Roman" w:eastAsia="Times New Roman" w:hAnsi="Times New Roman"/>
                <w:sz w:val="11"/>
                <w:szCs w:val="11"/>
                <w:color w:val="auto"/>
              </w:rPr>
              <w:t>Issuance of common stock upon exercise of stock</w:t>
            </w: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1,010,376</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5,725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5,725</w:t>
            </w:r>
          </w:p>
        </w:tc>
        <w:tc>
          <w:tcPr>
            <w:tcW w:w="100" w:type="dxa"/>
            <w:vAlign w:val="bottom"/>
            <w:shd w:val="clear" w:color="auto" w:fill="CFF0FC"/>
          </w:tcPr>
          <w:p>
            <w:pPr>
              <w:spacing w:after="0"/>
              <w:rPr>
                <w:sz w:val="12"/>
                <w:szCs w:val="12"/>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vesting of RSUs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185,045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37,546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37,546</w:t>
            </w:r>
          </w:p>
        </w:tc>
        <w:tc>
          <w:tcPr>
            <w:tcW w:w="100" w:type="dxa"/>
            <w:vAlign w:val="bottom"/>
            <w:shd w:val="clear" w:color="auto" w:fill="CFF0FC"/>
          </w:tcPr>
          <w:p>
            <w:pPr>
              <w:spacing w:after="0"/>
              <w:rPr>
                <w:sz w:val="13"/>
                <w:szCs w:val="13"/>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tcPr>
          <w:p>
            <w:pPr>
              <w:spacing w:after="0"/>
              <w:rPr>
                <w:sz w:val="12"/>
                <w:szCs w:val="12"/>
                <w:color w:val="auto"/>
              </w:rPr>
            </w:pPr>
          </w:p>
        </w:tc>
      </w:tr>
      <w:tr>
        <w:trPr>
          <w:trHeight w:val="148"/>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right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49,271</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49,271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67,707,432</w:t>
            </w:r>
          </w:p>
        </w:tc>
        <w:tc>
          <w:tcPr>
            <w:tcW w:w="8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738,177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(304,949 )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433,432</w:t>
            </w:r>
          </w:p>
        </w:tc>
        <w:tc>
          <w:tcPr>
            <w:tcW w:w="100" w:type="dxa"/>
            <w:vAlign w:val="bottom"/>
          </w:tcPr>
          <w:p>
            <w:pPr>
              <w:spacing w:after="0"/>
              <w:rPr>
                <w:sz w:val="12"/>
                <w:szCs w:val="12"/>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-1899920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-1899920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-1899920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-1899920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-1899920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-1899920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-1899920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-804545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-804545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-804545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-804545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-804545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-804545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-804545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-804545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-127635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-127635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-127635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-127635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-127635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-127635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-127635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49" w:name="page150"/>
    <w:bookmarkEnd w:id="1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operating activities:</w:t>
            </w: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49,271</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(198,375 )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(87,931 )</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expense</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(Accretion) amortization of investment (discounts) premiums</w:t>
            </w:r>
          </w:p>
        </w:tc>
        <w:tc>
          <w:tcPr>
            <w:tcW w:w="8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(9,940 )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(2,056 )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5,228</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(24,744 )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(15,306 )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(73,129 )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(9,769 )</w:t>
            </w: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receivable</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(144 )</w:t>
            </w: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(4,817 )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(5,221 )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(4,486 )</w:t>
            </w: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8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(231 )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(456 )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15,882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and deferred rent</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(2,041 )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(917 )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interest and accrued interest—related parties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6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11,919</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(179,871 )</w:t>
            </w: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(74,799 )</w:t>
            </w:r>
          </w:p>
        </w:tc>
      </w:tr>
      <w:tr>
        <w:trPr>
          <w:trHeight w:val="169"/>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(1,241 )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(2,526 )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(353 )</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8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(300,826 )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(415,873 )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(49,053 )</w:t>
            </w:r>
          </w:p>
        </w:tc>
      </w:tr>
      <w:tr>
        <w:trPr>
          <w:trHeight w:val="175"/>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maturities of short-term investments</w:t>
            </w:r>
          </w:p>
        </w:tc>
        <w:tc>
          <w:tcPr>
            <w:tcW w:w="8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394,120</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179,411</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(238,988 )</w:t>
            </w:r>
          </w:p>
        </w:tc>
        <w:tc>
          <w:tcPr>
            <w:tcW w:w="3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(46,406 )</w:t>
            </w:r>
          </w:p>
        </w:tc>
      </w:tr>
      <w:tr>
        <w:trPr>
          <w:trHeight w:val="16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8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and proceeds from PPP loan</w:t>
            </w:r>
          </w:p>
        </w:tc>
        <w:tc>
          <w:tcPr>
            <w:tcW w:w="8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(263 )</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initial public offering</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200,897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follow-on offering</w:t>
            </w:r>
          </w:p>
        </w:tc>
        <w:tc>
          <w:tcPr>
            <w:tcW w:w="8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231,550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Initial public offering costs paid</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(2,044 )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Follow-on offering costs paid</w:t>
            </w:r>
          </w:p>
        </w:tc>
        <w:tc>
          <w:tcPr>
            <w:tcW w:w="8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(803 )</w:t>
            </w: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notes—related parties</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notes, net of issuance costs</w:t>
            </w:r>
          </w:p>
        </w:tc>
        <w:tc>
          <w:tcPr>
            <w:tcW w:w="8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11,887</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costs related to conversion of convertible notes</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(50 )</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C-1 redeemable convertible preferred stock</w:t>
            </w:r>
          </w:p>
        </w:tc>
        <w:tc>
          <w:tcPr>
            <w:tcW w:w="8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costs related to issuance of Series C-1 redeemable convertible preferred stock</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(209 )</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Withholding taxes paid on stock-based awards</w:t>
            </w:r>
          </w:p>
        </w:tc>
        <w:tc>
          <w:tcPr>
            <w:tcW w:w="8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(3,315 )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8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(2,474 )</w:t>
            </w:r>
          </w:p>
        </w:tc>
      </w:tr>
      <w:tr>
        <w:trPr>
          <w:trHeight w:val="169"/>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2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431,789</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158,506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 equivalents</w:t>
            </w: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(65 )</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 equivalents</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107,675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37,314</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50,380</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13,066</w:t>
            </w:r>
          </w:p>
        </w:tc>
        <w:tc>
          <w:tcPr>
            <w:tcW w:w="100" w:type="dxa"/>
            <w:vAlign w:val="bottom"/>
          </w:tcPr>
          <w:p>
            <w:pPr>
              <w:spacing w:after="0"/>
              <w:rPr>
                <w:sz w:val="15"/>
                <w:szCs w:val="15"/>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170,920</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63,245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50,380</w:t>
            </w:r>
          </w:p>
        </w:tc>
        <w:tc>
          <w:tcPr>
            <w:tcW w:w="100" w:type="dxa"/>
            <w:vAlign w:val="bottom"/>
            <w:shd w:val="clear" w:color="auto" w:fill="CFF0FC"/>
          </w:tcPr>
          <w:p>
            <w:pPr>
              <w:spacing w:after="0"/>
              <w:rPr>
                <w:sz w:val="18"/>
                <w:szCs w:val="18"/>
                <w:color w:val="auto"/>
              </w:rPr>
            </w:pPr>
          </w:p>
        </w:tc>
      </w:tr>
      <w:tr>
        <w:trPr>
          <w:trHeight w:val="156"/>
        </w:trPr>
        <w:tc>
          <w:tcPr>
            <w:tcW w:w="662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Conversion of convertible notes and accrued interest into Series C-2 redeemable convertible preferred stock</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32,548</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short-term investments</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withheld on stock-based awards included in accrued expenses</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expenses</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and liabilities upon ASC 842 adoption</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Movement of deferred offering costs to equity</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Follow-on offering costs included in accounts payable and accrued expenses</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preferred stock to common stock upon initial public offering</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239,351</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82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-4083685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-4083685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-3629660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-3629660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-3629660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-1823085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-1823085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-1360805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-1343660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-1360805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-1343660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0" w:name="page151"/>
    <w:bookmarkEnd w:id="1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18"/>
          <w:szCs w:val="18"/>
          <w:color w:val="auto"/>
        </w:rPr>
        <w:t>Amylyx Pharmaceuticals, Inc., together with its wholly owned subsidiaries, known as Amylyx or the Company, is a commercial-stage biotechnology company with a mission to end the suffering caused by neurodegenerative diseases. The Company is pursuing amyotrophic lateral sclerosis, or ALS, as its first indication and is focused on the development and potential commercialization of AMX0035 for ALS globally. AMX0035 is approved by the U.S. Food and Drug Administration, or the FDA, and marketed as RELYVRIO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(sodium phenylbutyrate and taurursodiol, also known as ursodoxicoltaurine) for the treatment of ALS in adults in the U.S. AMX0035 is also approved with conditions by Health Canada and marketed as ALBRIOZA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ALS in Canada. The Company continues to focus on the completion of its global PHOENIX Phase 3 clinical trial, which will provide additional data on the efficacy and safety profile of AMX0035 in people living with ALS, and is also developing AMX0035 in other neurodegenerative diseases. AMX0035 was designed to target endoplasmic reticulum, or ER, stress and mitochondrial dysfunction, two connected central pathways that can lead to neurodegeneration. The Company is further investigating AMX0035 in diseases where ER and mitochondrial stress are implicated, including progressive supranuclear palsy, or PSP, and Wolfram syndrome, or WS. The Company dosed the first participant in the HELIOS trial, a Phase 2 trial of AMX0035 for the treatment of WS, in April 2023. The Company dosed the first participant in the ORION trial, a global, pivotal Phase 3 trial of AMX0035 for the treatment of PSP, in December 2023. The Company is also advancing additional drug candidates for neurodegenerative diseases including AMX0114, an antisense oligonucleotide, targeting Calpain-2, a key protein in axonal degeneration, among others.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biotechnology industry, including, but not limited to, the outcome of preclinical studies and clinical trials, market acceptance and the successful commercialization of its approved products ALBRIOZA, which received marketing authorization with conditions in Canada in June 2022, and RELYVRIO, which was approved by the FDA in the U.S. in September 2022, potential difficulties with or delays in timing with respect to regulatory approval processes, development by competitors of new technological innovations, dependence on key personnel, protection of proprietary technology, compliance with government regulations, ability to secure additional capital to fund operations, and risks associated with the economic challenges caused by global health crises such as the COVID-19 pandemic and economic uncertainty in various global markets caused by geopolitical instability and conflict. The Company and its contractors may experience disruptions in supply of items that are essential for its research and development and commercial activities, including, for example, raw materials and bulk drug substances that the Company imports from Europe and Canada used in the manufacturing of AMX0035, and any additional or future product candidates.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right="8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r>
        <w:rPr>
          <w:rFonts w:ascii="Times New Roman" w:cs="Times New Roman" w:eastAsia="Times New Roman" w:hAnsi="Times New Roman"/>
          <w:sz w:val="18"/>
          <w:szCs w:val="18"/>
          <w:color w:val="auto"/>
        </w:rPr>
        <w:t>The accompanying consolidated financial statements have been prepared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U.S., or GAAP, and include the accounts of the Company and its wholly owned subsidiaries. All intercompany balances and transactions have been eliminated in consolidation. Any reference in these notes to applicable guidance is meant to refer to the authoritative GAAP as found in the Accounting Standards Codification, or ASC, and Accounting Standards Updates, or ASU, of the Financial Accounting Standards Board, or FASB.</w:t>
      </w:r>
    </w:p>
    <w:p>
      <w:pPr>
        <w:spacing w:after="0" w:line="178"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the consolidated financial statements in conformity with GAAP requires the Company’s management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estimates and assumptions that affect the reported amounts of assets and liabilities at the date of the financial statements and the reported amount of expenses during the reporting period. Actual results could differ from those estimates. Management considers many factors in selecting appropriate financial accounting policies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gross-to-net, or GTN, adjustments; recoverability of inventories, including those produced in preparation for product launches; accrued expenses; stock option valuations; valuation allowance for deferred tax assets and research and development expenses.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51" w:name="page152"/>
    <w:bookmarkEnd w:id="151"/>
    <w:p>
      <w:pPr>
        <w:ind w:right="26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In June 2022, AMX0035 received marketing authorization with conditions as ALBRIOZA by Health Canada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ALS, and the Company launched ALBRIOZA in Canada in July 2022. In September 2022, AMX0035 received approval as RELYVRIO by the FDA for the treatment of ALS in adults, and the Company launched RELYVRIO in the U.S. in October 2022.</w:t>
      </w:r>
    </w:p>
    <w:p>
      <w:pPr>
        <w:spacing w:after="0" w:line="174" w:lineRule="exact"/>
        <w:rPr>
          <w:sz w:val="20"/>
          <w:szCs w:val="20"/>
          <w:color w:val="auto"/>
        </w:rPr>
      </w:pPr>
    </w:p>
    <w:p>
      <w:pPr>
        <w:ind w:right="460" w:firstLine="749"/>
        <w:spacing w:after="0" w:line="260" w:lineRule="auto"/>
        <w:rPr>
          <w:sz w:val="20"/>
          <w:szCs w:val="20"/>
          <w:color w:val="auto"/>
        </w:rPr>
      </w:pPr>
      <w:r>
        <w:rPr>
          <w:rFonts w:ascii="Times New Roman" w:cs="Times New Roman" w:eastAsia="Times New Roman" w:hAnsi="Times New Roman"/>
          <w:sz w:val="18"/>
          <w:szCs w:val="18"/>
          <w:color w:val="auto"/>
        </w:rPr>
        <w:t xml:space="preserve">The Company enters into arrangements with wholesalers, specialty pharmacies and specialty distributors, or Customers, to distribute ALBRIOZA, RELYVRIO and future approved products. In accordance with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revenue is recognized when the customer obtains control of promised goods or services, in an amount that reflects the consideration which the entity expects to be entitled to in exchange for those goods or services.</w:t>
      </w:r>
    </w:p>
    <w:p>
      <w:pPr>
        <w:spacing w:after="0" w:line="18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under Topic 606, including when it is probable that the Company will collect the consideration the Company expects to be entitled to in exchange for the goods or services the Company transfers to its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sells its approved products to its Customers. These Customers subsequently resell our products to specialty pharmacy providers, specialty distributors, health care providers, certain medical centers or hospitals, and patients. In addition to agreements with the Customers, the Company enters into arrangements with specialty pharmacies, health care providers and payors that provide for government mandated and/or privately negotiated rebates with respect to the purchase of our products. The Company’s customer identification process considers a number of factors, including contractual and legal factors, and who controls the Company’s product and bears inventory risk. The Company evaluates these factors on a customer-by-customer basis to determine the appropriate customer for revenue recognition purposes. In some cases, the Company may use a third-party logistics providers to deliver the Company’s product to its customers, but the Company recognizes revenue upon delivery to the customer, as its determined that the third-party logistics provider is acting as our agent. Changes in these factors or our assumptions regarding these factors could impact our revenue recognition</w:t>
      </w:r>
    </w:p>
    <w:p>
      <w:pPr>
        <w:spacing w:after="0" w:line="189"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The Company recognizes revenue on product sales when the Customer obtains control of our product, which occurs at a point in time (upon delivery). Product revenues are recorded net of applicable GTN adjustments, which are described below.</w:t>
      </w:r>
    </w:p>
    <w:p>
      <w:pPr>
        <w:spacing w:after="0" w:line="163"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If taxes should be collected from Customers relating to product sales and remitted to governmental authorities, they will be excluded from revenue. The Company expenses incremental costs of obtaining a contract when incurred, if the expected amortization period of the asset that the Company would have recognized is one year or less. However, no such costs were incurred during the years ended December 31, 2023, 2022 and 2021.</w:t>
      </w:r>
    </w:p>
    <w:p>
      <w:pPr>
        <w:spacing w:after="0" w:line="2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GTN Adjustments</w:t>
      </w:r>
    </w:p>
    <w:p>
      <w:pPr>
        <w:spacing w:after="0" w:line="227"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7"/>
          <w:szCs w:val="17"/>
          <w:color w:val="auto"/>
        </w:rPr>
        <w:t>Revenues from product sales are recorded at the net sales price (transaction price), which includes estimates of variable consideration related to certain GTN adjustments. Components of GTN adjustments include trade discounts and allowances, product returns, third-party payor rebates, and other allowances that are offered within contracts between the Company, its Customers and payors relating to the sale of our products. These GTN adjustments, as detailed below, are based on the amounts earned, or to be claimed on the related sales, and are classified as reductions of accounts receivable (if the amount is payable to the Customer) or a current liability (if the amount is payable to a party other than a Customer). These estimates take into consideration a range of possible outcomes which are probability-weighted in accordance with the expected value method in Topic 606 for relevant factors such as historical experience, payer channel mix (e.g., Medicare or Medicaid), current contract prices under applicable programs, unbilled claims and processing time lags and inventory levels in the distribution channel. In certain circumstances, the Company applies the most likely method in Topic 606.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52" w:name="page153"/>
    <w:bookmarkEnd w:id="152"/>
    <w:p>
      <w:pPr>
        <w:ind w:right="220"/>
        <w:spacing w:after="0" w:line="265" w:lineRule="auto"/>
        <w:rPr>
          <w:sz w:val="20"/>
          <w:szCs w:val="20"/>
          <w:color w:val="auto"/>
        </w:rPr>
      </w:pPr>
      <w:r>
        <w:rPr>
          <w:rFonts w:ascii="Times New Roman" w:cs="Times New Roman" w:eastAsia="Times New Roman" w:hAnsi="Times New Roman"/>
          <w:sz w:val="18"/>
          <w:szCs w:val="18"/>
          <w:color w:val="auto"/>
        </w:rPr>
        <w:t>determination to use the expected value method or the most likely method is based on the type of GTN adjustment and what method better predicts the amount of consideration we expect to be entitled to. Overall, these GTN adjustments reflect in the transaction price the amount of consideration to which the Company expects to be entitled to in exchange for transferring promised goods or services to its Customers.</w:t>
      </w:r>
    </w:p>
    <w:p>
      <w:pPr>
        <w:spacing w:after="0" w:line="177"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our estimates. If actual results in the future vary from our estimates, the Company will adjust these estimates, which would affect product revenue, net and earnings in the period such variances become known.</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Trade Discounts and Allowances</w:t>
      </w:r>
    </w:p>
    <w:p>
      <w:pPr>
        <w:spacing w:after="0" w:line="227" w:lineRule="exact"/>
        <w:rPr>
          <w:sz w:val="20"/>
          <w:szCs w:val="20"/>
          <w:color w:val="auto"/>
        </w:rPr>
      </w:pPr>
    </w:p>
    <w:p>
      <w:pPr>
        <w:ind w:right="140" w:firstLine="749"/>
        <w:spacing w:after="0" w:line="288" w:lineRule="auto"/>
        <w:rPr>
          <w:sz w:val="20"/>
          <w:szCs w:val="20"/>
          <w:color w:val="auto"/>
        </w:rPr>
      </w:pPr>
      <w:r>
        <w:rPr>
          <w:rFonts w:ascii="Times New Roman" w:cs="Times New Roman" w:eastAsia="Times New Roman" w:hAnsi="Times New Roman"/>
          <w:sz w:val="17"/>
          <w:szCs w:val="17"/>
          <w:color w:val="auto"/>
        </w:rPr>
        <w:t>The Company generally provides Customers with prompt payment discounts and pay fees for distribution services and for certain data that distributors provide to us that are explicitly stated in our contracts and are recorded as a reduction of revenue in the period the related product revenue is recognized. Payment from Customers is typically due within 30 calendar days of the invoice date, without consideration to the prompt payment discounts.</w:t>
      </w: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22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Consistent with industry practice, the Company generally offers Customers a limited right of return for product that has been purchased from the Company based on the product’s expiration date, which is set to lapse within a specified period stated in the contract. Additionally, our limited right of return policy allows for eligible returns from Customers in circumstances where product was shipped in error or was damaged in shipping, or product was returned pursuant to an official drug recall.</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estimates the amount of product sales that may be returned by our Customers and records this estimate as a reduction of revenue in the period the related product revenue is recognized, as well as reductions to accounts receivable, net on the consolidated balance sheets. The Company currently estimates returns using quantitative and qualitative information including, but not limited to, historical experience with returns, projected demand, levels of inventory in the distribution channel, product dating and expiration period, and whether products have been discontinued, among others. The Company has received an immaterial amount of returns to date and believes that returns of product in future periods will be minimal.</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Provider Chargebacks and Discounts</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Chargebacks for fees and discounts to providers represent the estimated obligations resulting from 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GTN adjustments are established in the same period that the related revenue is recognized, resulting in a reduction of product revenue and accounts receivable, net. GTN adjustments for chargebacks consist of credits that Customers have not claimed, but for which we expect to issue for units that remain in the distribution channel inventories at each reporting period-end that we expect will be sold to qualified healthcare providers, and chargebacks that Customers have claimed, but for which we have not yet issued a credit.</w:t>
      </w:r>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Payor Rebates</w:t>
      </w:r>
    </w:p>
    <w:p>
      <w:pPr>
        <w:spacing w:after="0" w:line="22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Company contracts with certain government and private payor organizations, primarily government and commercial health insurance companies, for the payment of rebates with respect to utilization of our products. The Company is subject to discount obligations under state Medicaid programs and Medicare. These GTN adjustments are recorded in the same period the related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it will owe an additional liability under the Medicare Part D program. The Company's liability for these rebates consists of invoices received for claims from prior quarters that have not been paid or for which an invoice has not yet been received, estimates of claims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53" w:name="page154"/>
    <w:bookmarkEnd w:id="153"/>
    <w:p>
      <w:pPr>
        <w:ind w:right="300"/>
        <w:spacing w:after="0" w:line="281" w:lineRule="auto"/>
        <w:rPr>
          <w:sz w:val="20"/>
          <w:szCs w:val="20"/>
          <w:color w:val="auto"/>
        </w:rPr>
      </w:pPr>
      <w:r>
        <w:rPr>
          <w:rFonts w:ascii="Times New Roman" w:cs="Times New Roman" w:eastAsia="Times New Roman" w:hAnsi="Times New Roman"/>
          <w:sz w:val="18"/>
          <w:szCs w:val="18"/>
          <w:color w:val="auto"/>
        </w:rPr>
        <w:t>the current quarter, and estimated future claims that will be made for product that has been recognized as revenue, but which remains in the distribution channel inventories at the end of each reporting period.</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Other incentives which the Company offers include voluntary patient assistance programs, such as its co-pay assistance 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product that has been recognized as revenue for each reporting period. The adjustments are recorded in the same period the related revenue is recognized, resulting in a reduction of product revenue and the establishment of a current liability which is included as a component of accrued expenses and other current liabilities on the consolidated balance sheets.</w:t>
      </w:r>
    </w:p>
    <w:p>
      <w:pPr>
        <w:spacing w:after="0" w:line="182"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Comprehensive Loss—</w:t>
      </w:r>
      <w:r>
        <w:rPr>
          <w:rFonts w:ascii="Times New Roman" w:cs="Times New Roman" w:eastAsia="Times New Roman" w:hAnsi="Times New Roman"/>
          <w:sz w:val="18"/>
          <w:szCs w:val="18"/>
          <w:color w:val="auto"/>
        </w:rPr>
        <w:t>Comprehensive loss includes net loss, as well as other changes in stockholders’ equity (deficit) that result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and economic events other than those with stockholders. Comprehensive loss is composed of net loss and other comprehensive (loss) income. Other comprehensive (loss) income consists of unrealized gains and losses on marketable securities and foreign currency translation.</w:t>
      </w:r>
    </w:p>
    <w:p>
      <w:pPr>
        <w:spacing w:after="0" w:line="170"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considers all highly liquid investments with an original maturity of three months or less at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purchase to be cash equivalents. Cash equivalents represent funds invested in readily available checking and money market funds.</w:t>
      </w:r>
    </w:p>
    <w:p>
      <w:pPr>
        <w:spacing w:after="0" w:line="18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Equivalents— </w:t>
      </w:r>
      <w:r>
        <w:rPr>
          <w:rFonts w:ascii="Times New Roman" w:cs="Times New Roman" w:eastAsia="Times New Roman" w:hAnsi="Times New Roman"/>
          <w:sz w:val="18"/>
          <w:szCs w:val="18"/>
          <w:color w:val="auto"/>
        </w:rPr>
        <w:t>Restricted cash equivalents consist of $0.2 million of cash serving as collateral for a letter of credit issued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office space, and $0.5 million as collateral for a corporate credit card program. As of December 31, 2023 and 2022, the Company’s restricted cash equivalents balance was $0.7 million and $0.7 million, respectively.</w:t>
      </w:r>
    </w:p>
    <w:p>
      <w:pPr>
        <w:spacing w:after="0" w:line="197"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net— </w:t>
      </w:r>
      <w:r>
        <w:rPr>
          <w:rFonts w:ascii="Times New Roman" w:cs="Times New Roman" w:eastAsia="Times New Roman" w:hAnsi="Times New Roman"/>
          <w:sz w:val="18"/>
          <w:szCs w:val="18"/>
          <w:color w:val="auto"/>
        </w:rPr>
        <w:t>The Company’s accounts receivable consists of amounts due from Customers related to product sales and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payment terms. The Company analyzes accounts that are past due for collectability and provides reserves against accounts receivable for expected credit losses that may result from a customer’s inability to pay. Amounts determined to be uncollectible are written-off against the established reserve. As of December 31, 2023 and 2022, the credit profiles for the Company’s customers were deemed to be in good standing and expected credit losses were not material.</w:t>
      </w:r>
    </w:p>
    <w:p>
      <w:pPr>
        <w:spacing w:after="0" w:line="17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Short-Term Investments—</w:t>
      </w:r>
      <w:r>
        <w:rPr>
          <w:rFonts w:ascii="Times New Roman" w:cs="Times New Roman" w:eastAsia="Times New Roman" w:hAnsi="Times New Roman"/>
          <w:sz w:val="18"/>
          <w:szCs w:val="18"/>
          <w:color w:val="auto"/>
        </w:rPr>
        <w:t>Short-term investments are composed of U.S. treasury notes and bills, corporate debt securities, commercial paper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agency bonds with maturities of less than one year from the balance sheet date. The Company classifies all of its short-term investments as available-for-sale. Accordingly, these investments are recorded at fair value, which is determined based on quoted market prices. Unrealized gains and losses on available-for-sale securities are included as a separate component of other accumulated comprehensive loss. The cost of short-term investments is adjusted for amortization of premiums and accretion of discounts until maturity. Such amortization and accretion are included in interest income. Realized gains and losses are included in other expense, net. The Company evaluates short-term investments for other-than-temporary impairment at the balance sheet date. Declines in fair value, if any, determined to be other than temporary-than-temporary are also included in other income, net.</w:t>
      </w:r>
    </w:p>
    <w:p>
      <w:pPr>
        <w:spacing w:after="0" w:line="184"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18"/>
          <w:szCs w:val="18"/>
          <w:color w:val="auto"/>
        </w:rPr>
        <w:t>When assessing short-term investments for other-than-temporary declines in value, the Company considers such factors as, among other things, how significant the decline in value is as a percentage of the original cost, how long the market value of the investment has been less than its original cost, and the Company’s ability and intent to retain the investment for a period of time sufficient to allow for any anticipated recovery in fair value and market conditions in general. As of December 31, 2023 and 2022, there were no impairment charges on short-term investments.</w:t>
      </w:r>
    </w:p>
    <w:p>
      <w:pPr>
        <w:spacing w:after="0" w:line="178"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r>
        <w:rPr>
          <w:rFonts w:ascii="Times New Roman" w:cs="Times New Roman" w:eastAsia="Times New Roman" w:hAnsi="Times New Roman"/>
          <w:sz w:val="18"/>
          <w:szCs w:val="18"/>
          <w:color w:val="auto"/>
        </w:rPr>
        <w:t>Financial instruments that potentially expose the Company to concentrations of credit risk consist primarily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cash equivalents, short-term investments and accounts receivable, net. The Company maintains its cash in financial institutions that it believes have high credit quality. The Company has not experienced any losses on such accounts, and does not believe it is exposed to any unusual credit risk beyond the normal credit risk associated with commercial banking relationships.</w:t>
      </w:r>
    </w:p>
    <w:p>
      <w:pPr>
        <w:spacing w:after="0" w:line="179"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The Company’s accounts receivable, net represents amounts due to the Company from customers. Amylyx performs ongoing credit evaluations of its customers and generally does not require collateral. The Company monitors its exposure and</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154" w:name="page155"/>
    <w:bookmarkEnd w:id="154"/>
    <w:p>
      <w:pPr>
        <w:ind w:right="340"/>
        <w:spacing w:after="0" w:line="265" w:lineRule="auto"/>
        <w:rPr>
          <w:sz w:val="20"/>
          <w:szCs w:val="20"/>
          <w:color w:val="auto"/>
        </w:rPr>
      </w:pPr>
      <w:r>
        <w:rPr>
          <w:rFonts w:ascii="Times New Roman" w:cs="Times New Roman" w:eastAsia="Times New Roman" w:hAnsi="Times New Roman"/>
          <w:sz w:val="18"/>
          <w:szCs w:val="18"/>
          <w:color w:val="auto"/>
        </w:rPr>
        <w:t>records a reserve against uncollectible amounts as necessary. Three and four customers individually accounted for approximately 81% and 97% of total gross product revenue in 2023 and 2022, respectively. No revenue was recognized in 2021. Three and three customers individually accounted for approximately 81% and 98% of total accounts receivable, net as of December 31, 2023 and 2022, respectively.</w:t>
      </w:r>
    </w:p>
    <w:p>
      <w:pPr>
        <w:spacing w:after="0" w:line="173" w:lineRule="exact"/>
        <w:rPr>
          <w:sz w:val="20"/>
          <w:szCs w:val="20"/>
          <w:color w:val="auto"/>
        </w:rPr>
      </w:pPr>
    </w:p>
    <w:p>
      <w:pPr>
        <w:ind w:right="14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Assets and liabilities recorded at fair value on a recurring basis on the consolidated balance sheet are categorized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72" w:lineRule="exact"/>
        <w:rPr>
          <w:sz w:val="20"/>
          <w:szCs w:val="20"/>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68"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prices in markets that are not active for identical or similar assets or liabilities, or other inputs that are observable or can be corroborated by observable market data.</w:t>
      </w:r>
    </w:p>
    <w:p>
      <w:pPr>
        <w:spacing w:after="0" w:line="61" w:lineRule="exact"/>
        <w:rPr>
          <w:rFonts w:ascii="Times New Roman" w:cs="Times New Roman" w:eastAsia="Times New Roman" w:hAnsi="Times New Roman"/>
          <w:sz w:val="18"/>
          <w:szCs w:val="18"/>
          <w:color w:val="auto"/>
        </w:rPr>
      </w:pPr>
    </w:p>
    <w:p>
      <w:pPr>
        <w:ind w:left="1020" w:right="140" w:hanging="504"/>
        <w:spacing w:after="0" w:line="28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that are significant to determining the fair value of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liabilities, including pricing models, discounted cash flow methodologies and similar techniques.</w:t>
      </w:r>
    </w:p>
    <w:p>
      <w:pPr>
        <w:spacing w:after="0" w:line="158" w:lineRule="exact"/>
        <w:rPr>
          <w:sz w:val="20"/>
          <w:szCs w:val="20"/>
          <w:color w:val="auto"/>
        </w:rPr>
      </w:pPr>
    </w:p>
    <w:p>
      <w:pPr>
        <w:ind w:right="240" w:firstLine="749"/>
        <w:spacing w:after="0" w:line="260"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restricted cash equivalents, short-term investments, accounts receivable, net, accounts payable and accrued expenses. The Company’s short-term investments are carried at fair value, determined according to Level 1 and Level 2 inputs to the fair value hierarchy described above. The Company’s 2021 Notes (as defined in Note 8) were carried at fair value, determined according to Level 3 inputs in the fair value hierarchy described above. The remaining financial instruments are stated at their respective carrying amounts, which approximate fair value due to the short-term nature of these assets and liabilities.</w:t>
      </w:r>
    </w:p>
    <w:p>
      <w:pPr>
        <w:spacing w:after="0" w:line="17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color w:val="auto"/>
        </w:rPr>
        <w:t>The Company values its inventories at the lower of cost or estimated net realizable value. The Company determines the cost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inventories, which includes amounts related to materials and manufacturing overhead, on a first-in, first-out basis. The Company classifies inventory as long-term when consumption or sale of the inventory is expected beyond its normal operating cycle of twelve months. 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write-downs of inventory may be required which would be recorded as cost of sales in the consolidated statements of operations.</w:t>
      </w:r>
    </w:p>
    <w:p>
      <w:pPr>
        <w:spacing w:after="0" w:line="18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prior to receipt of regulatory approval of a product candidate is expensed as research and development expense as incurred. Inventory that can be used in either the production of clinical or commercial product is initially capitalized and subsequently expensed as research and development expense when identified for use in the manufacture of drugs still in development.</w:t>
      </w:r>
    </w:p>
    <w:p>
      <w:pPr>
        <w:spacing w:after="0" w:line="178"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r>
        <w:rPr>
          <w:rFonts w:ascii="Times New Roman" w:cs="Times New Roman" w:eastAsia="Times New Roman" w:hAnsi="Times New Roman"/>
          <w:sz w:val="18"/>
          <w:szCs w:val="18"/>
          <w:color w:val="auto"/>
        </w:rPr>
        <w:t>Property and equipment are stated at cost, net of accumulated depreciation. Depreciation of property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is calculated using the straight-line method over the estimated useful lives of the respective assets. Maintenance and repairs that do not improve or extend the life of the assets are expensed when incurred. Upon sale or retirement of assets, the cost and accumulated depreciation are removed from the consolidated balance sheets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55" w:name="page156"/>
    <w:bookmarkEnd w:id="155"/>
    <w:p>
      <w:pPr>
        <w:ind w:right="500"/>
        <w:spacing w:after="0" w:line="281" w:lineRule="auto"/>
        <w:rPr>
          <w:sz w:val="20"/>
          <w:szCs w:val="20"/>
          <w:color w:val="auto"/>
        </w:rPr>
      </w:pPr>
      <w:r>
        <w:rPr>
          <w:rFonts w:ascii="Times New Roman" w:cs="Times New Roman" w:eastAsia="Times New Roman" w:hAnsi="Times New Roman"/>
          <w:sz w:val="18"/>
          <w:szCs w:val="18"/>
          <w:color w:val="auto"/>
        </w:rPr>
        <w:t>and any resulting gain or loss is reflected in the consolidated statements of operations in the period realized. The range of useful lives of property and equipment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Lesser of the estimated life or remaining lease term</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years</w:t>
            </w: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depreciated</w:t>
            </w:r>
          </w:p>
        </w:tc>
      </w:tr>
    </w:tbl>
    <w:p>
      <w:pPr>
        <w:spacing w:after="0" w:line="202"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r>
        <w:rPr>
          <w:rFonts w:ascii="Times New Roman" w:cs="Times New Roman" w:eastAsia="Times New Roman" w:hAnsi="Times New Roman"/>
          <w:sz w:val="18"/>
          <w:szCs w:val="18"/>
          <w:color w:val="auto"/>
        </w:rPr>
        <w:t>The Company evaluates assets for potential impairment when events or changes in circumstances indicate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in the years ended December 31, 2023 and 2022.</w:t>
      </w:r>
    </w:p>
    <w:p>
      <w:pPr>
        <w:spacing w:after="0" w:line="178" w:lineRule="exact"/>
        <w:rPr>
          <w:sz w:val="20"/>
          <w:szCs w:val="20"/>
          <w:color w:val="auto"/>
        </w:rPr>
      </w:pPr>
    </w:p>
    <w:p>
      <w:pPr>
        <w:ind w:right="4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Research and development expenses include costs directly attributable to the conduct of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 In addition, research and development-related salaries and benefits, facility, and overhead costs, supplies and other related costs are included in research and development expense.</w:t>
      </w:r>
    </w:p>
    <w:p>
      <w:pPr>
        <w:spacing w:after="0" w:line="178"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Costs—</w:t>
      </w:r>
      <w:r>
        <w:rPr>
          <w:rFonts w:ascii="Times New Roman" w:cs="Times New Roman" w:eastAsia="Times New Roman" w:hAnsi="Times New Roman"/>
          <w:sz w:val="18"/>
          <w:szCs w:val="18"/>
          <w:color w:val="auto"/>
        </w:rPr>
        <w:t>Sales and marketing expenses consist primarily of wages and benefits for sales and marketing personnel,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and consulting fees, administrative travel expenses, and marketing and advertising costs such as marketing literature, promotional activities, conferences and seminars and branding. Sales and marketing, and advertising costs are expensed as incurred and included in selling, general and administrative expenses in the accompanying consolidated statements of operations. The Company considers advertising costs as expenses related to the promotion of the Company's commercial products. For the years ended December 31, 2023 and 2022, advertising costs were $9.5 million and $4.4 million, respectively. The Company did not have commercial products in 2021.</w:t>
      </w:r>
    </w:p>
    <w:p>
      <w:pPr>
        <w:spacing w:after="0" w:line="18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Patent-Related Costs—</w:t>
      </w:r>
      <w:r>
        <w:rPr>
          <w:rFonts w:ascii="Times New Roman" w:cs="Times New Roman" w:eastAsia="Times New Roman" w:hAnsi="Times New Roman"/>
          <w:sz w:val="18"/>
          <w:szCs w:val="18"/>
          <w:color w:val="auto"/>
        </w:rPr>
        <w:t>Patent-related costs incurred in connection with filing and prosecuting patent applications are expensed as incurred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uncertainty about the recovery of the expenditure. Amounts incurred are classified as selling, general and administrative expenses in the accompanying consolidated statements of operations.</w:t>
      </w:r>
    </w:p>
    <w:p>
      <w:pPr>
        <w:spacing w:after="0" w:line="170"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r>
        <w:rPr>
          <w:rFonts w:ascii="Times New Roman" w:cs="Times New Roman" w:eastAsia="Times New Roman" w:hAnsi="Times New Roman"/>
          <w:sz w:val="18"/>
          <w:szCs w:val="18"/>
          <w:color w:val="auto"/>
        </w:rPr>
        <w:t>Stock-based compensation is recognized in the consolidated statements of operations based on their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values on the date of grant over the requisite service period, which is generally equal to the vesting period of the respective award. Forfeitures are accounted for as they occur. Generally, the Company issues stock option awards with only service-based vesting conditions and records the expense for these awards using the straight-line method. The Company classifies stock-based compensation expense in the same manner in which the awards recipient’s payroll or service provider’s costs are classified.</w:t>
      </w:r>
    </w:p>
    <w:p>
      <w:pPr>
        <w:spacing w:after="0" w:line="182"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w:t>
      </w:r>
    </w:p>
    <w:p>
      <w:pPr>
        <w:spacing w:after="0" w:line="16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Company estimates its expected stock price volatility based on the historical volatility of publicly traded peer companies. The expected term of the Company’s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There is no expected dividend yield since the Company has never paid cash dividends on common stock and does not expect to pay any cash dividends in the foreseeable future. The stock price of the Company is based on the closing price on the date of grant. Prior to the IPO, as there was no public market for the Company’s common stock, the estimated fair value of common stock was determined by the Company’s Board of Directors as of the date of each option grant, with input from management, considering third-party valuations of its common stock as well as the Company’s Board of Directors’ assessment of additional objective and subjective factors that it believed were relevant and which may have changed from the date of the most recent third-party valuation through the date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56" w:name="page157"/>
    <w:bookmarkEnd w:id="156"/>
    <w:p>
      <w:pPr>
        <w:ind w:right="320"/>
        <w:spacing w:after="0" w:line="281" w:lineRule="auto"/>
        <w:rPr>
          <w:sz w:val="20"/>
          <w:szCs w:val="20"/>
          <w:color w:val="auto"/>
        </w:rPr>
      </w:pPr>
      <w:r>
        <w:rPr>
          <w:rFonts w:ascii="Times New Roman" w:cs="Times New Roman" w:eastAsia="Times New Roman" w:hAnsi="Times New Roman"/>
          <w:sz w:val="18"/>
          <w:szCs w:val="18"/>
          <w:color w:val="auto"/>
        </w:rPr>
        <w:t xml:space="preserve">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Contingencies—</w:t>
      </w:r>
      <w:r>
        <w:rPr>
          <w:rFonts w:ascii="Times New Roman" w:cs="Times New Roman" w:eastAsia="Times New Roman" w:hAnsi="Times New Roman"/>
          <w:sz w:val="18"/>
          <w:szCs w:val="18"/>
          <w:color w:val="auto"/>
        </w:rPr>
        <w:t>From time to time, the Company may have certain contingent liabilities that arise in the ordinary course of business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accrues for loss contingencies when losses become probable and are reasonably estimable. If the reasonable estimate of the loss is a range and no amount within the range is a better estimate, the minimum amount of the range is recorded as a liability on the Company’s consolidated balance sheets. The Company does not accrue for contingent losses that, in its judgement, are considered to be reasonably possible, but not probable; however, it discloses the range of reasonably possible losses. There were no loss or gain contingencies recorded in the Company’s consolidated financial statements as of and during the years ended December 31, 2023 and 2022.</w:t>
      </w:r>
    </w:p>
    <w:p>
      <w:pPr>
        <w:spacing w:after="0" w:line="180" w:lineRule="exact"/>
        <w:rPr>
          <w:sz w:val="20"/>
          <w:szCs w:val="20"/>
          <w:color w:val="auto"/>
        </w:rPr>
      </w:pPr>
    </w:p>
    <w:p>
      <w:pPr>
        <w:jc w:val="both"/>
        <w:ind w:right="60" w:firstLine="74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Leases—</w:t>
      </w:r>
      <w:r>
        <w:rPr>
          <w:rFonts w:ascii="Times New Roman" w:cs="Times New Roman" w:eastAsia="Times New Roman" w:hAnsi="Times New Roman"/>
          <w:sz w:val="17"/>
          <w:szCs w:val="17"/>
          <w:color w:val="auto"/>
        </w:rPr>
        <w:t>The Company adopted the FASB, ASC 842,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ASC 842, on January 1, 2022. ASC 842 allows the Company to elect a package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practical expedients, which include: (i) an entity need not reassess whether any expired or existing contracts are or contain leases; (ii) an entity need not reassess the lease classification for any expired or existing leases; and (iii) an entity need not reassess any initial direct costs for any existing leases.</w:t>
      </w:r>
    </w:p>
    <w:p>
      <w:pPr>
        <w:ind w:right="120"/>
        <w:spacing w:after="0" w:line="255" w:lineRule="auto"/>
        <w:rPr>
          <w:sz w:val="20"/>
          <w:szCs w:val="20"/>
          <w:color w:val="auto"/>
        </w:rPr>
      </w:pPr>
      <w:r>
        <w:rPr>
          <w:rFonts w:ascii="Times New Roman" w:cs="Times New Roman" w:eastAsia="Times New Roman" w:hAnsi="Times New Roman"/>
          <w:sz w:val="18"/>
          <w:szCs w:val="18"/>
          <w:color w:val="auto"/>
        </w:rPr>
        <w:t>Another practical expedient allows the Company to use hindsight in determining the lease term when considering lessee options to extend or terminate the lease and to purchase the underlying asset. The Company has elected to utilize this package of practical expedients and has not elected the hindsight methodology in its implementation of ASC 842.</w:t>
      </w:r>
    </w:p>
    <w:p>
      <w:pPr>
        <w:spacing w:after="0" w:line="18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 leases its offices, and may from time to time, enter into other lease agreements in conducting its business. The Company determines if an arrangement includes a lease at the inception of the agreement. For each of the Company’s lease arrangements, the Company records a right-of-use asset representing the Company’s right to use an underlying asset for the lease term and a lease liability representing the Company’s obligation to make lease payments. Operating lease right-of-use assets and operating lease liabilities are recognized at the lease commencement date based on the net present value of the remaining future minimum lease payments over the lease term. If the interest rate implicit in the Company’s leases is not readily determinable, in determining the weighted-average discount rate used to calculate the net present value of lease payments, the Company utilizes an estimate of its incremental borrowing rate based on market sources including interest rates for companies with similar credit quality for agreements of similar duration, determined by class of underlying asset, to discount the lease payments. Lease expense for the Company’s operating leases is recognized on a straight-line basis over the lease term and variable lease costs are expensed as incurred. The Company did not have financing leases as of December 31, 2023 and 2022.</w:t>
      </w:r>
    </w:p>
    <w:p>
      <w:pPr>
        <w:spacing w:after="0" w:line="19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not to apply the recognition and measurement requirements to short-term leases, which is any lease with a term of one year or less as of the lease commencement date. The lease may require the Company to pay additional amounts for maintenance and other expenses, which are generally referred to as non-lease components. The Company has elected the practical expedient to combine lease and non-lease components. If a lease includes options to extend the lease term, the Company does not assume the option will be exercised in its initial lease term assessment unless there is reasonable certainty that the Company will renew based on an assessment of economic factors present as of the lease commencement date.</w:t>
      </w:r>
    </w:p>
    <w:p>
      <w:pPr>
        <w:spacing w:after="0" w:line="18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Prior to the adoption of ASC 842, at the inception of each lease, the Company evaluated the lease agreement to determine whether the lease was an operating or capital lease in accordance with </w:t>
      </w:r>
      <w:r>
        <w:rPr>
          <w:rFonts w:ascii="Times New Roman" w:cs="Times New Roman" w:eastAsia="Times New Roman" w:hAnsi="Times New Roman"/>
          <w:sz w:val="18"/>
          <w:szCs w:val="18"/>
          <w:i w:val="1"/>
          <w:iCs w:val="1"/>
          <w:color w:val="auto"/>
        </w:rPr>
        <w:t>ASC 840, Leases (ASC 840)</w:t>
      </w:r>
      <w:r>
        <w:rPr>
          <w:rFonts w:ascii="Times New Roman" w:cs="Times New Roman" w:eastAsia="Times New Roman" w:hAnsi="Times New Roman"/>
          <w:sz w:val="18"/>
          <w:szCs w:val="18"/>
          <w:color w:val="auto"/>
        </w:rPr>
        <w:t>. When any one of the four test criteria in ASC 840 was met, the lease then qualified as a capital lease. If the lease agreements contained renewal options, tenant improvement allowances, rent holidays or rent escalation clauses, the Company recorded a deferred rent asset or liability equal to the difference between the rent expense and future minimum lease payments due. The rent expense related to operating leases was recognized on a straight-line basis in the statements of operations over the term of each lease.</w:t>
      </w:r>
    </w:p>
    <w:p>
      <w:pPr>
        <w:spacing w:after="0" w:line="178"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The Company accounts for income taxes using the asset and liability approach. Deferred tax assets and liabilities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established to reduce deferred tax assets to the amounts expected to be realized. The Company also recognizes a tax benefit from uncertain tax positions only if it is “more likely than not” that the position is sustainable based on its technical merits. The Company accounts for interest and penalties related to uncertain tax positions as part of its provision for income taxes. To date, the Company has not incurred material interest and penalties related to income tax positions.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57" w:name="page158"/>
    <w:bookmarkEnd w:id="157"/>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Valuation allowances are provided, if, based upon the weight of available evidence, it is more likely than not that some or all of the deferred tax assets will not be realized. As of December 31, 2023, we continued to maintain a full valuation allowance against all of our U.S. federal and state deferred tax assets based on management’s evaluation of all available evidence, including our history of incurring significant losses from operations. Our evaluation of all available evidence also includes consideration of regulatory approvals of ALBRIOZA and RELYVRIO, including revenue generated from the sale these products in 2023. Given the early stage of our product launch, we are uncertain about the timing and amount of future sales. We may release all or a portion of the valuation allowance in the near-term; however, the release of the valuation allowance, as well as the exact timing and the amount of such release, continue to be subject to, among other things, our level of profitability, revenue growth, clinical program progression and expectations regarding future profitability.</w:t>
      </w:r>
    </w:p>
    <w:p>
      <w:pPr>
        <w:spacing w:after="0" w:line="18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Segment Information—</w:t>
      </w:r>
      <w:r>
        <w:rPr>
          <w:rFonts w:ascii="Times New Roman" w:cs="Times New Roman" w:eastAsia="Times New Roman" w:hAnsi="Times New Roman"/>
          <w:sz w:val="18"/>
          <w:szCs w:val="18"/>
          <w:color w:val="auto"/>
        </w:rPr>
        <w:t>An operating segment is defined as a component of a business that engages in business activities for which it may earn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and incur expenses and for which discrete financial information is available that is evaluated regularly by the chief operating decision maker or makers in order to make decisions about resources to be allocated to the segment and assess its performance. The Company has determined that its CO-Chief Executive Officers are the chief operating decision makers, or CODM. The CODM reviews consolidated operating results to make decisions about allocating resources or capital to specific compounds or projects in line with the Company’s overall strategies and goals. The Company's entire business is managed by a single management team, which reports to the CO-Chief Executive Officers. The Company has one operating segment which is the business of researching and developing therapeutics for neurodegenerative disorders. For the years ended December 31, 2023 and 2022, all of the Company's long-lived assets were held within the U.S.</w:t>
      </w:r>
    </w:p>
    <w:p>
      <w:pPr>
        <w:spacing w:after="0" w:line="182"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income (loss) per share—</w:t>
      </w:r>
      <w:r>
        <w:rPr>
          <w:rFonts w:ascii="Times New Roman" w:cs="Times New Roman" w:eastAsia="Times New Roman" w:hAnsi="Times New Roman"/>
          <w:sz w:val="18"/>
          <w:szCs w:val="18"/>
          <w:color w:val="auto"/>
        </w:rPr>
        <w:t>The Company follows the two-class method when computing net income (loss) per share as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2"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attributable to common stockholders by the weighted average number of common shares outstanding for the period. Diluted net income (loss)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shares. For purpose of this calculation, stock options, convertible notes, and redeemable convertible preferred stock are considered potential dilutive common shares.</w:t>
      </w:r>
    </w:p>
    <w:p>
      <w:pPr>
        <w:spacing w:after="0" w:line="18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Company’s redeemable convertible preferred stock contractually entitles the holders of such shares to participate in dividends but does not contractually require the holders of such shares to participate in losses of the Company. Accordingly, in periods in which the Company reports a net loss attributable to common stockholders,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or ASU 2023-09, to enhance the transparency and decision usefulness of income tax disclosures. ASU 2023-09 is effective for annual periods beginning after December 15, 2024 on a prospective basis. Early adoption and retrospective application is permitted. The Company is currently evaluating the impact of this ASU on its consolidated financial statements and related disclosures.</w:t>
      </w:r>
    </w:p>
    <w:p>
      <w:pPr>
        <w:spacing w:after="0" w:line="17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or ASU 2023-09, which requires public entities to disclose information about their reportable segments’ significant expenses on an interim and annual basis. ASU 2023-07 is effective for the Company beginning the year ended May 31, 2025. The Company is currently evaluating the impact of this ASU on its consolidated financial statements and related disclosures.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58" w:name="page159"/>
    <w:bookmarkEnd w:id="15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or ASU 2016-13. The provisions of ASU 2016-13 modify the impairment model to utilize an expected loss methodology in place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used incurred loss methodology and require a consideration of a broader range of reasonable and supportable information to inform credit loss estimates. Credit losses relating to available-for-sale debt securities will be recorded through an allowance for credit losses rather than as a direct write-down to the security. The Company adopted ASU 2016-13 effective January 1, 2023, with no material impact on its consolidated financial statements and related disclosures.</w:t>
      </w:r>
    </w:p>
    <w:p>
      <w:pPr>
        <w:spacing w:after="0" w:line="188"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Effective January 1, 2022, the Company adopted the requirements under the ASC 842 using the modified retrospective transition approach. Comparative periods have not been restated. This standard requires entities that lease assets to recognize the assets and liabilities for the rights and obligations created by those leases on the balance sheet. The Company elected the available package of practical expedients which allows it to not reassess previous accounting conclusions around whether arrangements are or contain leases, the classification of its leases, and the treatment of initial direct costs. The Company has made an accounting policy election to keep leases with an initial term of 12 months or less off of the balance sheet. ASC 842 was issued in order to increase transparency and comparability of financial reporting related to leasing arrangements. The main difference between previous GAAP, or ASC 840, and ASC 842 is the recognition of right-of-use lease assets and lease liabilities by lessees for those leases that were classified as operating leases under ASC 840. At January 1, 2022, the Company recorded right-of-use assets of $2.2 million and operating lease liabilities of $2.2 million. Adoption of the standard did not have a material impact on the consolidated statements of operations. For additional information regarding how the Company is accounting for leases under ASC 842, refer to Note 10.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 NET</w:t>
      </w:r>
    </w:p>
    <w:p>
      <w:pPr>
        <w:spacing w:after="0" w:line="134"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To date, the Company’s only source of product revenue has been from the sales of RELYVRIO, known as ALBRIOZA in Canada. Significant judgment is required in estimating GTN adjustments considering historical experience, payer channel mix (e.g., Medicare or Medicaid), current contract prices under applicable programs, unbilled claims and processing time lags and inventory levels in the distribution channel. The following table reconciles gross product revenue to net product revenue: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1"/>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revenue, gross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431,433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27,104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GTN adjustments</w:t>
            </w:r>
          </w:p>
        </w:tc>
        <w:tc>
          <w:tcPr>
            <w:tcW w:w="300" w:type="dxa"/>
            <w:vAlign w:val="bottom"/>
          </w:tcPr>
          <w:p>
            <w:pPr>
              <w:spacing w:after="0"/>
              <w:rPr>
                <w:sz w:val="19"/>
                <w:szCs w:val="19"/>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(50,647 )</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(4,874 )</w:t>
            </w:r>
          </w:p>
        </w:tc>
        <w:tc>
          <w:tcPr>
            <w:tcW w:w="30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Product revenue, net</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22,230</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activity and ending reserve balance for GTN adjustments were as follows for the periods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 Rebates,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Chargebacks and</w:t>
            </w:r>
          </w:p>
        </w:tc>
        <w:tc>
          <w:tcPr>
            <w:tcW w:w="120" w:type="dxa"/>
            <w:vAlign w:val="bottom"/>
          </w:tcPr>
          <w:p>
            <w:pPr>
              <w:spacing w:after="0"/>
              <w:rPr>
                <w:sz w:val="17"/>
                <w:szCs w:val="17"/>
                <w:color w:val="auto"/>
              </w:rPr>
            </w:pPr>
          </w:p>
        </w:tc>
        <w:tc>
          <w:tcPr>
            <w:tcW w:w="164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Medicaid and</w:t>
            </w:r>
          </w:p>
        </w:tc>
        <w:tc>
          <w:tcPr>
            <w:tcW w:w="17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Returns, Discounts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Cash Discounts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Medicare Rebates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and Adjustments</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1"/>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176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at December 31, 2021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related to sales in the current year</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00" w:type="dxa"/>
            <w:vAlign w:val="bottom"/>
          </w:tcPr>
          <w:p>
            <w:pPr>
              <w:spacing w:after="0"/>
              <w:rPr>
                <w:sz w:val="19"/>
                <w:szCs w:val="19"/>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related to prior period sales</w:t>
            </w:r>
          </w:p>
        </w:tc>
        <w:tc>
          <w:tcPr>
            <w:tcW w:w="1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Credits and payments made</w:t>
            </w:r>
          </w:p>
        </w:tc>
        <w:tc>
          <w:tcPr>
            <w:tcW w:w="1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(203 )</w:t>
            </w:r>
          </w:p>
        </w:tc>
        <w:tc>
          <w:tcPr>
            <w:tcW w:w="120" w:type="dxa"/>
            <w:vAlign w:val="bottom"/>
          </w:tcPr>
          <w:p>
            <w:pPr>
              <w:spacing w:after="0"/>
              <w:rPr>
                <w:sz w:val="19"/>
                <w:szCs w:val="19"/>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(367 )</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(570 )</w:t>
            </w:r>
          </w:p>
        </w:tc>
      </w:tr>
      <w:tr>
        <w:trPr>
          <w:trHeight w:val="263"/>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at December 31, 2022</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related to sales in the current year</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51,163</w:t>
            </w:r>
          </w:p>
        </w:tc>
        <w:tc>
          <w:tcPr>
            <w:tcW w:w="100" w:type="dxa"/>
            <w:vAlign w:val="bottom"/>
          </w:tcPr>
          <w:p>
            <w:pPr>
              <w:spacing w:after="0"/>
              <w:rPr>
                <w:sz w:val="17"/>
                <w:szCs w:val="17"/>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related to prior period sales</w:t>
            </w:r>
          </w:p>
        </w:tc>
        <w:tc>
          <w:tcPr>
            <w:tcW w:w="1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(280 )</w:t>
            </w:r>
          </w:p>
        </w:tc>
        <w:tc>
          <w:tcPr>
            <w:tcW w:w="1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(236 )</w:t>
            </w: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(516 )</w:t>
            </w:r>
          </w:p>
        </w:tc>
      </w:tr>
      <w:tr>
        <w:trPr>
          <w:trHeight w:val="22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Credits and payments made</w:t>
            </w:r>
          </w:p>
        </w:tc>
        <w:tc>
          <w:tcPr>
            <w:tcW w:w="1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(15,123 )</w:t>
            </w:r>
          </w:p>
        </w:tc>
        <w:tc>
          <w:tcPr>
            <w:tcW w:w="120" w:type="dxa"/>
            <w:vAlign w:val="bottom"/>
          </w:tcPr>
          <w:p>
            <w:pPr>
              <w:spacing w:after="0"/>
              <w:rPr>
                <w:sz w:val="19"/>
                <w:szCs w:val="19"/>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(7,697 )</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(12,969 )</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(35,789 )</w:t>
            </w:r>
          </w:p>
        </w:tc>
      </w:tr>
      <w:tr>
        <w:trPr>
          <w:trHeight w:val="263"/>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at December 31, 2023</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-641350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-624205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-641350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-624205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-641350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-624205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Included in the ending reserve balance for GTN adjustments are chargebacks resulting from contractual commitments to sell products to qualified healthcare providers at prices lower than the list prices charged to customers who directly purchase the product from the Company, discounts to customers for prompt payment and estimates for product returns. Chargebacks, discounts and returns are recorded as reductions of accounts receivable, net on the consolidated balance sheets. In addition, included in the ending reserve balance for GTN adjustments are Medicaid and Medicare rebates, other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9" w:name="page160"/>
    <w:bookmarkEnd w:id="159"/>
    <w:p>
      <w:pPr>
        <w:ind w:right="200"/>
        <w:spacing w:after="0" w:line="281" w:lineRule="auto"/>
        <w:rPr>
          <w:sz w:val="20"/>
          <w:szCs w:val="20"/>
          <w:color w:val="auto"/>
        </w:rPr>
      </w:pPr>
      <w:r>
        <w:rPr>
          <w:rFonts w:ascii="Times New Roman" w:cs="Times New Roman" w:eastAsia="Times New Roman" w:hAnsi="Times New Roman"/>
          <w:sz w:val="18"/>
          <w:szCs w:val="18"/>
          <w:color w:val="auto"/>
        </w:rPr>
        <w:t>rebates for obligations under voluntary patient assistance programs, and accrued fees payable to customers. Medicaid and Medicare rebates, other rebates and fees are recorded as a component of accrued expenses on the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appropriate classification of marketable securities at the time of purchase and reevaluates such designation at each balance sheet date. The Company has classified all of its marketable securities at December 31, 2023 and 2022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The Company records available-for-sale securities at fair value, with the unrealized gains and losses included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component of other accumulated comprehensive income (loss). There were no realized gains or losses recognized during the years ended December 31, 2023 and 2022.</w:t>
      </w:r>
    </w:p>
    <w:p>
      <w:pPr>
        <w:spacing w:after="0" w:line="18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Such amortization and accretion are included in interest income. The cost of securities sold is based on the specific identification method. The Company includes interest and dividends on securities classified as available-for-sale in interest income. Accrued interest receivable relating to the Company's available-for-sale securities is presented within prepaid expenses and other current assets in the accompanying condensed consolidated balance sheets, and amounted to $0.5 million and $0.5 million at December 31, 2023 and 2022, respectively.</w:t>
      </w:r>
    </w:p>
    <w:p>
      <w:pPr>
        <w:spacing w:after="0" w:line="182"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The following is a summary of available-for-sale securities with unrealized losses for less than 12 months as of December 31, 2023 and 2022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3560" w:type="dxa"/>
            <w:vAlign w:val="bottom"/>
            <w:gridSpan w:val="6"/>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Pr>
          <w:p>
            <w:pPr>
              <w:spacing w:after="0"/>
              <w:rPr>
                <w:sz w:val="19"/>
                <w:szCs w:val="19"/>
                <w:color w:val="auto"/>
              </w:rPr>
            </w:pPr>
          </w:p>
        </w:tc>
        <w:tc>
          <w:tcPr>
            <w:tcW w:w="3100" w:type="dxa"/>
            <w:vAlign w:val="bottom"/>
            <w:gridSpan w:val="5"/>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Unrealized Losses</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notes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27,159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bills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1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33,486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available-for-sale securities in an unrealized loss</w:t>
            </w:r>
          </w:p>
        </w:tc>
        <w:tc>
          <w:tcPr>
            <w:tcW w:w="1120" w:type="dxa"/>
            <w:vAlign w:val="bottom"/>
            <w:vMerge w:val="restart"/>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4,996</w:t>
            </w:r>
          </w:p>
        </w:tc>
        <w:tc>
          <w:tcPr>
            <w:tcW w:w="3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70,484</w:t>
            </w:r>
          </w:p>
        </w:tc>
        <w:tc>
          <w:tcPr>
            <w:tcW w:w="3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position</w:t>
            </w:r>
          </w:p>
        </w:tc>
        <w:tc>
          <w:tcPr>
            <w:tcW w:w="1120" w:type="dxa"/>
            <w:vAlign w:val="bottom"/>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64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At December 31, 2023, the Company's security portfolio consisted of 11 securities related to investments in debt securities available-for-sale, of which 1 security was in an unrealized loss position. There were no securities in an unrealized loss position for greater than 12 months as of December 31, 2023. The contractual terms of these investments do not permit the issuer to settle the securities at a price less than the amortized cost bases of the investments. The Company does not intend to sell the investments and it is not more likely than not that the Company will be required to sell the investments before recovery of their amortized cost bases. The Company did not record an allowance for credit losses as of December 31, 2023.</w:t>
      </w:r>
    </w:p>
    <w:p>
      <w:pPr>
        <w:spacing w:after="0" w:line="18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Prior to January 1, 2023, the Company evaluated short-term investments for other-than-temporary impairment at the balance sheet date. Declines in fair value, if any, determined to be other-than-temporary were also included in other income, net. When assessing short-term investments for other-than-temporary declines in value, the Company considered such factors as, among other things, how significant the decline in value is as a percentage of the original cost, how long the market value of the investment has been less than its original cost, and the Company’s ability and intent to retain the investment for a period of time sufficient to allow for any anticipated recovery in fair value and market conditions in general. The Company determined it did not hold any investments with any other-than-temporary impairment as of December 31, 2022.</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Short-term investments, which are classified as available-for-sale,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960" w:type="dxa"/>
            <w:vAlign w:val="bottom"/>
            <w:gridSpan w:val="2"/>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201,097</w:t>
            </w: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201,161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386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gridSpan w:val="2"/>
          </w:tcPr>
          <w:p>
            <w:pPr>
              <w:ind w:left="1600"/>
              <w:spacing w:after="0"/>
              <w:rPr>
                <w:sz w:val="20"/>
                <w:szCs w:val="20"/>
                <w:color w:val="auto"/>
              </w:rPr>
            </w:pPr>
            <w:r>
              <w:rPr>
                <w:rFonts w:ascii="Times New Roman" w:cs="Times New Roman" w:eastAsia="Times New Roman" w:hAnsi="Times New Roman"/>
                <w:sz w:val="18"/>
                <w:szCs w:val="18"/>
                <w:color w:val="auto"/>
                <w:w w:val="99"/>
              </w:rPr>
              <w:t>F-18</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38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-915670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-898525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-915670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-898525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-915670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-898525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1"/>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7"/>
        </w:trPr>
        <w:tc>
          <w:tcPr>
            <w:tcW w:w="5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80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notes</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134,375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284,450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5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center"/>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53,144</w:t>
            </w:r>
          </w:p>
        </w:tc>
        <w:tc>
          <w:tcPr>
            <w:tcW w:w="1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83,280</w:t>
            </w:r>
          </w:p>
        </w:tc>
        <w:tc>
          <w:tcPr>
            <w:tcW w:w="1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-2097405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-2097405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-2097405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As of December 31, 2023, the Company had $2.7 million of inventory on hand that was acquired prior to regulatory approvals. This inventory was expensed to research and development as the future economic benefit was not probable. The Company began to capitalize inventory costs upon receipt of regulatory approvals in 2022. Long-term inventory consists primarily of raw materials, which have a current usable period of approximately two to three years in its raw material form. Raw material has until its stated expiry date to be manufactured into finished goods, at which point the material has another twelve to eighteen months of useful life. The Company classifies inventory as long-term when consumption or sale of the inventory is expected beyond twelve months. Inventory amounts written down as a result of obsolescence or other reasons are charged to cost of sales. For the years ended December 31, 2023, 2022, and 2021 the Company recognized write-downs of $3.3 million, $0.4 million and zero,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300" w:type="dxa"/>
            <w:vAlign w:val="bottom"/>
            <w:gridSpan w:val="2"/>
            <w:shd w:val="clear" w:color="auto" w:fill="CFF0FC"/>
          </w:tcPr>
          <w:p>
            <w:pPr>
              <w:jc w:val="right"/>
              <w:ind w:right="16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21"/>
                <w:szCs w:val="2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40"/>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0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shd w:val="clear" w:color="auto" w:fill="CFF0FC"/>
          </w:tcPr>
          <w:p>
            <w:pPr>
              <w:spacing w:after="0"/>
              <w:rPr>
                <w:sz w:val="20"/>
                <w:szCs w:val="20"/>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(1,628 )</w:t>
            </w:r>
          </w:p>
        </w:tc>
        <w:tc>
          <w:tcPr>
            <w:tcW w:w="70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(540 )</w:t>
            </w:r>
          </w:p>
        </w:tc>
      </w:tr>
      <w:tr>
        <w:trPr>
          <w:trHeight w:val="276"/>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tcBorders>
              <w:bottom w:val="single" w:sz="8" w:color="CFF0FC"/>
            </w:tcBorders>
            <w:shd w:val="clear" w:color="auto" w:fill="CFF0FC"/>
          </w:tcPr>
          <w:p>
            <w:pPr>
              <w:spacing w:after="0"/>
              <w:rPr>
                <w:sz w:val="24"/>
                <w:szCs w:val="24"/>
                <w:color w:val="auto"/>
              </w:rPr>
            </w:pPr>
          </w:p>
        </w:tc>
        <w:tc>
          <w:tcPr>
            <w:tcW w:w="1800" w:type="dxa"/>
            <w:vAlign w:val="bottom"/>
            <w:tcBorders>
              <w:top w:val="single" w:sz="8" w:color="auto"/>
              <w:bottom w:val="single" w:sz="8" w:color="auto"/>
            </w:tcBorders>
            <w:shd w:val="clear" w:color="auto" w:fill="CFF0FC"/>
          </w:tcPr>
          <w:p>
            <w:pPr>
              <w:jc w:val="right"/>
              <w:ind w:right="16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3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4040" w:type="dxa"/>
            <w:vAlign w:val="bottom"/>
          </w:tcPr>
          <w:p>
            <w:pPr>
              <w:spacing w:after="0"/>
              <w:rPr>
                <w:sz w:val="24"/>
                <w:szCs w:val="24"/>
                <w:color w:val="auto"/>
              </w:rPr>
            </w:pPr>
          </w:p>
        </w:tc>
        <w:tc>
          <w:tcPr>
            <w:tcW w:w="3300" w:type="dxa"/>
            <w:vAlign w:val="bottom"/>
            <w:gridSpan w:val="2"/>
          </w:tcPr>
          <w:p>
            <w:pPr>
              <w:jc w:val="right"/>
              <w:ind w:right="1459"/>
              <w:spacing w:after="0"/>
              <w:rPr>
                <w:sz w:val="20"/>
                <w:szCs w:val="20"/>
                <w:color w:val="auto"/>
              </w:rPr>
            </w:pPr>
            <w:r>
              <w:rPr>
                <w:rFonts w:ascii="Times New Roman" w:cs="Times New Roman" w:eastAsia="Times New Roman" w:hAnsi="Times New Roman"/>
                <w:sz w:val="18"/>
                <w:szCs w:val="18"/>
                <w:color w:val="auto"/>
              </w:rPr>
              <w:t>F-19</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0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-932815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-915670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 and incentive compensation</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manufacturing</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consulting and other professional fees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rebates and co-pay assistance</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38,312</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333"/>
        </w:rPr>
        <w:t>Issuance of the 2021 Notes</w:t>
      </w:r>
    </w:p>
    <w:p>
      <w:pPr>
        <w:spacing w:after="0" w:line="229" w:lineRule="exact"/>
        <w:rPr>
          <w:sz w:val="20"/>
          <w:szCs w:val="20"/>
          <w:color w:val="auto"/>
        </w:rPr>
      </w:pPr>
    </w:p>
    <w:p>
      <w:pPr>
        <w:ind w:right="100" w:firstLine="637"/>
        <w:spacing w:after="0" w:line="256" w:lineRule="auto"/>
        <w:rPr>
          <w:sz w:val="20"/>
          <w:szCs w:val="20"/>
          <w:color w:val="auto"/>
        </w:rPr>
      </w:pPr>
      <w:r>
        <w:rPr>
          <w:rFonts w:ascii="Times New Roman" w:cs="Times New Roman" w:eastAsia="Times New Roman" w:hAnsi="Times New Roman"/>
          <w:sz w:val="18"/>
          <w:szCs w:val="18"/>
          <w:color w:val="333333"/>
        </w:rPr>
        <w:t>In January 2021, the Company issued, in aggregate, $27.3 million in convertible notes, or 2021 Notes, to certain investors, including related parties, of which proceeds of $1.2 million were received in advance of issuance of the 2021 Notes in December 2020 and the remaining proceeds of $26.1 million were received in January and February 2021. The 2021 Notes were to mature on June 30, 2022 and carried both automatic and optional conversion features. The 2021 Notes were secured and carried an interest rate of 3%. The Company recorded the $1.2 million of proceeds received in December 2020 as proceeds received in advance of issuance of 2021 Notes in the consolidated balance sheet as of December 31, 2020, as the subscription agreement and commitment to issue the 2021 Notes was not effective until January 2021.</w:t>
      </w:r>
    </w:p>
    <w:p>
      <w:pPr>
        <w:spacing w:after="0" w:line="186"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333333"/>
        </w:rPr>
        <w:t>The Company qualified for and elected to account for the 2021 Notes under the fair value option and, in doing so, bypassed the analysis of potential embedded derivative features. The Company believes that the fair value option better reflects the underlying economics of the 2021 Notes. As a result, the 2021 Notes were recorded at fair value upon issuance, which was determined to be equal to principal amounts of these notes of $27.3 million. At each financial reporting period, and immediately prior to conversion, the Company remeasured the fair value of the 2021 Notes. The change in fair value of the 2021 Notes from issuance date to the conversion date totaled $5.2 million, which is recorded as change in fair value of convertible notes in the consolidated statement of operations for the year ended December 31,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333"/>
        </w:rPr>
        <w:t>Conversion of the 2021 Notes</w:t>
      </w:r>
    </w:p>
    <w:p>
      <w:pPr>
        <w:spacing w:after="0" w:line="229"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333333"/>
        </w:rPr>
        <w:t>In July 2021, the Company consummated a financing transaction in which it issued shares of Series C-1 redeemable convertible preferred stock. The consummation of this financing transaction resulted in the automatic conversion of the 2021 Notes into shares of Series C-2 redeemable convertible preferred stock (together with the Series C-1 redeemable convertible preferred stock, the “Series C Preferred Stock”) pursuant to their original terms. The Series C Preferred Stock was determined to have a fair value of $10.265809. Under the fair value option, the 2021 Notes were remeasured to fair value immediately prior to conversion at a price per share equal to the fair value of the Series C-1 redeemable convertible preferred stock. The Company recorded $5.2 million loss related to change in fair value of the 2021 Notes in its consolidated statement of operations for the year ended December 31, 2021. The 2021 Notes converted into 3,170,585 shares of Series C-2 redeemable convertible preferred stock at the effective conversion price of $8.725938.</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333"/>
        </w:rPr>
        <w:t>Convertible Notes—Related Parties</w:t>
      </w:r>
    </w:p>
    <w:p>
      <w:pPr>
        <w:spacing w:after="0" w:line="229"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333333"/>
        </w:rPr>
        <w:t>There were no convertible notes issued to related parties that were outstanding as of December 31, 2023 and 2022. In connection with the issuance of the 2021 Notes, the Company issued, in aggregate, $14.3 million of convertible notes to certain related parties. These notes were issued under the same terms and conditions as the 2021 Notes.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ind w:right="520" w:firstLine="637"/>
        <w:spacing w:after="0" w:line="281"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indicates the level of the fair value hierarchy utilized to determine such fair values: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2"/>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76,710</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201,161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273,594</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278,590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2"/>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1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notes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58,753</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58,753</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Pr>
          <w:p>
            <w:pPr>
              <w:spacing w:after="0"/>
              <w:rPr>
                <w:sz w:val="20"/>
                <w:szCs w:val="20"/>
                <w:color w:val="auto"/>
              </w:rPr>
            </w:pP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197,926</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284,419</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110,779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207,915</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-2747645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-2747645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-2747645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-2430780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-2430780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-2430780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-2430780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Short-Term Investments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classifies its money market funds, treasury notes and treasury bills as Level 1 assets under the fair value hierarchy, as these assets have been valued using quoted market prices for identical assets in active markets without any valuation adjustment. The Company classifies its commercial paper, corporate debt securities, and agency bonds as Level 2 assets under the fair value hierarchy, as these assets have been valued using information obtained through a third-party pricing service at each balance sheet date, using observable market inputs that may include trade information, broker or dealer quotes, bids, offers, or a combination of these data sources.</w:t>
      </w:r>
    </w:p>
    <w:p>
      <w:pPr>
        <w:spacing w:after="0" w:line="182" w:lineRule="exact"/>
        <w:rPr>
          <w:sz w:val="20"/>
          <w:szCs w:val="20"/>
          <w:color w:val="auto"/>
        </w:rPr>
      </w:pPr>
    </w:p>
    <w:p>
      <w:pPr>
        <w:ind w:right="600" w:firstLine="749"/>
        <w:spacing w:after="0" w:line="281" w:lineRule="auto"/>
        <w:rPr>
          <w:sz w:val="20"/>
          <w:szCs w:val="20"/>
          <w:color w:val="auto"/>
        </w:rPr>
      </w:pPr>
      <w:r>
        <w:rPr>
          <w:rFonts w:ascii="Times New Roman" w:cs="Times New Roman" w:eastAsia="Times New Roman" w:hAnsi="Times New Roman"/>
          <w:sz w:val="18"/>
          <w:szCs w:val="18"/>
          <w:color w:val="auto"/>
        </w:rPr>
        <w:t>The Company does not hold any short-term investments classified as Level 3, which are securities valued using unobservable inputs. The Company has not transferred any investment securities between the classification levels.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other assets or liabilities that were measured at fair value on a recurring basis as of December 31, 2023 and 2022.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that expire at various dates through October 2026. The Company entered into an office space lease at 121 First Street in Cambridge, Massachusetts on January 10, 2022, for 36 months, with an option to extend the lease for 3 years. Because the Company was not reasonably certain to exercise the option to extend the lease at inception, the option to extend was not considered in determining the lease term. The Company initially recognized a right-of-use asset of $5.0 million and a lease liability of $5.0 million upon commencement of the lease.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3" w:name="page164"/>
    <w:bookmarkEnd w:id="163"/>
    <w:p>
      <w:pPr>
        <w:ind w:left="640"/>
        <w:spacing w:after="0"/>
        <w:rPr>
          <w:sz w:val="20"/>
          <w:szCs w:val="20"/>
          <w:color w:val="auto"/>
        </w:rPr>
      </w:pPr>
      <w:r>
        <w:rPr>
          <w:rFonts w:ascii="Times New Roman" w:cs="Times New Roman" w:eastAsia="Times New Roman" w:hAnsi="Times New Roman"/>
          <w:sz w:val="18"/>
          <w:szCs w:val="18"/>
          <w:color w:val="auto"/>
        </w:rPr>
        <w:t>Components of lease expense required by ASC 842 are presented below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r>
      <w:tr>
        <w:trPr>
          <w:trHeight w:val="236"/>
        </w:trPr>
        <w:tc>
          <w:tcPr>
            <w:tcW w:w="7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Lease liabilities are measured by calculating the present value of remaining lease payments under the lease arrangement. Since the rates implicit in our leases are not readily determinable, the Company uses estimated incremental borrowing rates in determining the discount rate used to calculate the present value of remaining lease payments. The incremental borrowing rate is the rate of interest that the Company would have to pay to borrow, on a collateralized basis, an amount equal to the lease payments over a similar term equal to the lease term in a similar economic environment. The incremental borrowing rate is based on the information available at commencement date. As the Company has no recent external borrowings, the incremental borrowing is a hypothetical rate based on our understanding of what our credit rating would be and adjusted to reflect a collateralized borrowing.</w:t>
      </w:r>
    </w:p>
    <w:p>
      <w:pPr>
        <w:spacing w:after="0" w:line="186"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The Company’s leases contain renewal options that can extend the lease for additional years. Because the Company is not reasonably certain to exercise these renewal options, they are not considered in determining the lease terms, and associated potential additional payments are excluded from lease payments. The Company has elected to account for each lease component and its associated non-lease components as a single lease component and has allocated all of the contract consideration across lease components only. The Company has existing net leases in which the non-lease components (e.g., common area maintenance) are paid separately from rent based on actual costs incurred and therefore are not included in the operating lease right-of-use assets and lease liabilities and are reflected as an expense in the period incurred.</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consolidated balance sheet of its operating leases: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40" w:type="dxa"/>
            <w:vAlign w:val="bottom"/>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169"/>
        </w:trPr>
        <w:tc>
          <w:tcPr>
            <w:tcW w:w="7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3,725</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20"/>
                <w:szCs w:val="20"/>
                <w:color w:val="auto"/>
              </w:rPr>
            </w:pPr>
          </w:p>
        </w:tc>
      </w:tr>
      <w:tr>
        <w:trPr>
          <w:trHeight w:val="240"/>
        </w:trPr>
        <w:tc>
          <w:tcPr>
            <w:tcW w:w="77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liabilities, current</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2,257</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liabilities, net of current portion</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1,980</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4,237</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20" w:firstLine="637"/>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made cash payments for operating leases of $2.4 million and $1.4 million, respectively. Future minimum lease payments under non-cancelable leases as of December 31, 2023, were as detailed below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9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top w:val="single" w:sz="8" w:color="CFF0FC"/>
            </w:tcBorders>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(303 )</w:t>
            </w:r>
          </w:p>
        </w:tc>
      </w:tr>
      <w:tr>
        <w:trPr>
          <w:trHeight w:val="236"/>
        </w:trPr>
        <w:tc>
          <w:tcPr>
            <w:tcW w:w="9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firstLine="637"/>
        <w:spacing w:after="0" w:line="281" w:lineRule="auto"/>
        <w:rPr>
          <w:sz w:val="20"/>
          <w:szCs w:val="20"/>
          <w:color w:val="auto"/>
        </w:rPr>
      </w:pPr>
      <w:r>
        <w:rPr>
          <w:rFonts w:ascii="Times New Roman" w:cs="Times New Roman" w:eastAsia="Times New Roman" w:hAnsi="Times New Roman"/>
          <w:sz w:val="18"/>
          <w:szCs w:val="18"/>
          <w:color w:val="auto"/>
        </w:rPr>
        <w:t>As of December 31, 2023 and 2022, the weighted average remaining lease term was 2 years and 2.9 years, respectively. As of December 31, 2023 and 2022, the weighted average incremental borrowing rate used to determine the operating lease right-of-use assets was 7.3%.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11. REDEEMABLE CONVERTIBLE PREFERRED STOCK</w:t>
      </w:r>
    </w:p>
    <w:p>
      <w:pPr>
        <w:spacing w:after="0" w:line="229" w:lineRule="exact"/>
        <w:rPr>
          <w:sz w:val="20"/>
          <w:szCs w:val="20"/>
          <w:color w:val="auto"/>
        </w:rPr>
      </w:pPr>
    </w:p>
    <w:p>
      <w:pPr>
        <w:ind w:right="680" w:firstLine="637"/>
        <w:spacing w:after="0" w:line="281" w:lineRule="auto"/>
        <w:rPr>
          <w:sz w:val="20"/>
          <w:szCs w:val="20"/>
          <w:color w:val="auto"/>
        </w:rPr>
      </w:pPr>
      <w:r>
        <w:rPr>
          <w:rFonts w:ascii="Times New Roman" w:cs="Times New Roman" w:eastAsia="Times New Roman" w:hAnsi="Times New Roman"/>
          <w:sz w:val="18"/>
          <w:szCs w:val="18"/>
          <w:color w:val="333333"/>
        </w:rPr>
        <w:t>On July 1, 2021, the Company amended its certificate of incorporation in which it authorized 13,150,430 shares of Series C-1 redeemable convertible preferred stock and 3,170,585 shares of Series C-2 redeemable convertible preferred stock.</w:t>
      </w:r>
    </w:p>
    <w:p>
      <w:pPr>
        <w:spacing w:after="0" w:line="163" w:lineRule="exact"/>
        <w:rPr>
          <w:sz w:val="20"/>
          <w:szCs w:val="20"/>
          <w:color w:val="auto"/>
        </w:rPr>
      </w:pPr>
    </w:p>
    <w:p>
      <w:pPr>
        <w:ind w:right="540" w:firstLine="637"/>
        <w:spacing w:after="0" w:line="265" w:lineRule="auto"/>
        <w:rPr>
          <w:sz w:val="20"/>
          <w:szCs w:val="20"/>
          <w:color w:val="auto"/>
        </w:rPr>
      </w:pPr>
      <w:r>
        <w:rPr>
          <w:rFonts w:ascii="Times New Roman" w:cs="Times New Roman" w:eastAsia="Times New Roman" w:hAnsi="Times New Roman"/>
          <w:sz w:val="18"/>
          <w:szCs w:val="18"/>
          <w:color w:val="333333"/>
        </w:rPr>
        <w:t>In July 2021, the Company consummated a financing transaction in which it issued 13,150,430 shares of Series C-1 redeemable convertible preferred stock. In connection with the issuance of these shares, the principal including accrued interest of the 2021 Notes totaling $27.7 million automatically converted into 3,170,585 shares of Series C-2 redeemable convertible preferred stock.</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333333"/>
        </w:rPr>
        <w:t>The Company’s redeemable convertible preferred stock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4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68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24"/>
        </w:trPr>
        <w:tc>
          <w:tcPr>
            <w:tcW w:w="30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6,289,609</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6,289,609</w:t>
            </w:r>
          </w:p>
        </w:tc>
        <w:tc>
          <w:tcPr>
            <w:tcW w:w="5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6,407,256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14,496,835</w:t>
            </w:r>
          </w:p>
        </w:tc>
        <w:tc>
          <w:tcPr>
            <w:tcW w:w="5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246,070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16,746,059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13,150,430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13,150,430</w:t>
            </w:r>
          </w:p>
        </w:tc>
        <w:tc>
          <w:tcPr>
            <w:tcW w:w="5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134,791</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13,150,430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C-2 preferred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3,170,585</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3,170,585</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32,498</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4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37,710,624</w:t>
            </w:r>
          </w:p>
        </w:tc>
        <w:tc>
          <w:tcPr>
            <w:tcW w:w="24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37,107,459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239,351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416,466</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39,474,330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-24765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-7620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right="460" w:firstLine="637"/>
        <w:spacing w:after="0" w:line="281" w:lineRule="auto"/>
        <w:rPr>
          <w:sz w:val="20"/>
          <w:szCs w:val="20"/>
          <w:color w:val="auto"/>
        </w:rPr>
      </w:pPr>
      <w:r>
        <w:rPr>
          <w:rFonts w:ascii="Times New Roman" w:cs="Times New Roman" w:eastAsia="Times New Roman" w:hAnsi="Times New Roman"/>
          <w:sz w:val="18"/>
          <w:szCs w:val="18"/>
          <w:color w:val="auto"/>
        </w:rPr>
        <w:t>In January 2022, upon the completion of the Company’s IPO, all of the Company's outstanding shares of preferred stock were converted into shares of its common stock. There were no redeemable convertible preferred stock outstanding as of December 31, 2023 or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 (DEFICIT)</w:t>
      </w:r>
    </w:p>
    <w:p>
      <w:pPr>
        <w:spacing w:after="0" w:line="225"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however, that, except as otherwise required by law, holders of common stock shall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were declared or paid during the years ended December 31, 2023 and 2022.</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in connection with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3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authorized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67,707,432</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66,512,011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authorized and reserved for future issuances:</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reserved for the exercise of 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9,823,248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8,480,950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reserved for the unvested restricted stock units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1,112,542</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740,297</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reserved for future issuance of share-based awards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5,253,507</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2,817,751</w:t>
            </w:r>
          </w:p>
        </w:tc>
        <w:tc>
          <w:tcPr>
            <w:tcW w:w="100" w:type="dxa"/>
            <w:vAlign w:val="bottom"/>
          </w:tcPr>
          <w:p>
            <w:pPr>
              <w:spacing w:after="0"/>
              <w:rPr>
                <w:sz w:val="20"/>
                <w:szCs w:val="20"/>
                <w:color w:val="auto"/>
              </w:rPr>
            </w:pP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stock authorized and reserved for future issuance</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16,189,297</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12,038,998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Unreserved common stock available for future issuance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216,103,271</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221,448,991</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In January 2022, the Company completed its IPO in which the Company issued and sold 11,369,369 shares of its common stock at a price of $19.00 per share. After deducting underwriting discounts and commissions and estimated offering expenses, the Company received net proceeds of approximately $</w:t>
      </w:r>
      <w:r>
        <w:rPr>
          <w:rFonts w:ascii="Times New Roman" w:cs="Times New Roman" w:eastAsia="Times New Roman" w:hAnsi="Times New Roman"/>
          <w:sz w:val="18"/>
          <w:szCs w:val="18"/>
          <w:color w:val="181818"/>
        </w:rPr>
        <w:t>196.4</w:t>
      </w:r>
      <w:r>
        <w:rPr>
          <w:rFonts w:ascii="Times New Roman" w:cs="Times New Roman" w:eastAsia="Times New Roman" w:hAnsi="Times New Roman"/>
          <w:sz w:val="18"/>
          <w:szCs w:val="18"/>
          <w:color w:val="auto"/>
        </w:rPr>
        <w:t xml:space="preserve"> million. Upon the completion of the IPO, all of the Company’s outstanding shares of preferred stock were converted into shares of its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65" w:name="page166"/>
    <w:bookmarkEnd w:id="165"/>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In October 2022, the Company completed a follow-on public offering in which the Company issued 7,697,812 shares of its common stock at a price of $32.00 per share. After deducting underwriting discounts and commissions and estimated offering expenses, the Company received net proceeds of approximately $230.6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AND GRANT PLAN</w:t>
      </w:r>
    </w:p>
    <w:p>
      <w:pPr>
        <w:spacing w:after="0" w:line="225" w:lineRule="exact"/>
        <w:rPr>
          <w:sz w:val="20"/>
          <w:szCs w:val="20"/>
          <w:color w:val="auto"/>
        </w:rPr>
      </w:pPr>
    </w:p>
    <w:p>
      <w:pPr>
        <w:ind w:right="60" w:firstLine="63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 Incentive Plan—</w:t>
      </w:r>
      <w:r>
        <w:rPr>
          <w:rFonts w:ascii="Times New Roman" w:cs="Times New Roman" w:eastAsia="Times New Roman" w:hAnsi="Times New Roman"/>
          <w:sz w:val="18"/>
          <w:szCs w:val="18"/>
          <w:color w:val="auto"/>
        </w:rPr>
        <w:t>In January 2022, the Company’s board of directors adopted, and its stockholders approved the 2022 Stock Option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or 2022 Plan, which became effective on January 5, 2022, at which point no further grants would be made under the 2015 Stock Option and Restricted Stock Plan, or 2015 Plan. Under the 2022 Plan, the Company may grant incentive stock options, or ISOs, non-statutory stock options, stock appreciation rights, restricted stock units, restricted stock awards and other stock-based awards. As of December 31, 2023, there were 3,454,220 shares available for future issuance under the 2022 Plan. The options issued under the 2022 Plan expire 10 years following the date of grant. Stock options and restricted stock units typically vest over 4 years. We recognize the compensation cost of awards subject to service-based vesting conditions over the requisite service period, which is generally equal to the vesting period of the respective award.</w:t>
      </w:r>
    </w:p>
    <w:p>
      <w:pPr>
        <w:spacing w:after="0" w:line="184" w:lineRule="exact"/>
        <w:rPr>
          <w:sz w:val="20"/>
          <w:szCs w:val="20"/>
          <w:color w:val="auto"/>
        </w:rPr>
      </w:pPr>
    </w:p>
    <w:p>
      <w:pPr>
        <w:ind w:right="180" w:firstLine="637"/>
        <w:spacing w:after="0" w:line="258" w:lineRule="auto"/>
        <w:rPr>
          <w:sz w:val="20"/>
          <w:szCs w:val="20"/>
          <w:color w:val="auto"/>
        </w:rPr>
      </w:pPr>
      <w:r>
        <w:rPr>
          <w:rFonts w:ascii="Times New Roman" w:cs="Times New Roman" w:eastAsia="Times New Roman" w:hAnsi="Times New Roman"/>
          <w:sz w:val="18"/>
          <w:szCs w:val="18"/>
          <w:color w:val="auto"/>
        </w:rPr>
        <w:t>Initially, subject to adjustment as provided in the 2022 Plan, the aggregate number of shares of the Company’s common stock available for issuance under the 2022 Plan is 7,650,000. The number of shares of the Company’s common stock reserved for issuance under the 2022 Plan will automatically increase on January 1 of each year commencing January 1, 2023, by 5% of the total number of shares of the Company’s common stock outstanding on December 31 of the preceding calendar year, or a lesser number of shares as may be determined by the Company’s board of directors. The maximum current number of shares that may be issued pursuant to the exercise of ISOs under the 2022 Plan is 7,650,000.</w:t>
      </w:r>
    </w:p>
    <w:p>
      <w:pPr>
        <w:spacing w:after="0" w:line="182" w:lineRule="exact"/>
        <w:rPr>
          <w:sz w:val="20"/>
          <w:szCs w:val="20"/>
          <w:color w:val="auto"/>
        </w:rPr>
      </w:pPr>
    </w:p>
    <w:p>
      <w:pPr>
        <w:jc w:val="both"/>
        <w:ind w:right="380" w:firstLine="637"/>
        <w:spacing w:after="0" w:line="260" w:lineRule="auto"/>
        <w:rPr>
          <w:sz w:val="20"/>
          <w:szCs w:val="20"/>
          <w:color w:val="auto"/>
        </w:rPr>
      </w:pPr>
      <w:r>
        <w:rPr>
          <w:rFonts w:ascii="Times New Roman" w:cs="Times New Roman" w:eastAsia="Times New Roman" w:hAnsi="Times New Roman"/>
          <w:sz w:val="18"/>
          <w:szCs w:val="18"/>
          <w:color w:val="auto"/>
        </w:rPr>
        <w:t>The maximum number of shares of the Company’s common stock subject to awards granted under the 2022 Plan or otherwise during a single calendar year to any individual nonemployee director, taken together with any cash fees paid by the Company to such nonemployee director during the calendar year for serving on the Company’s board of directors, will not exceed $750,000 in total value, or, with respect to the calendar year in which a nonemployee director is first appointed or elected to the Company’s board of directors, $1,000,000.</w:t>
      </w:r>
    </w:p>
    <w:p>
      <w:pPr>
        <w:spacing w:after="0" w:line="182"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All options and awards granted under the 2015 Plan consisted of the Company’s common stock. As of January 6, 2022, no additional stock awards have been or will be granted under the 2015 Plan. Although the 2015 Plan was terminated as to future awards in January 2022, it continues to govern the terms of options that remain outstanding under the 2015 Plan.</w:t>
      </w:r>
    </w:p>
    <w:p>
      <w:pPr>
        <w:spacing w:after="0" w:line="173" w:lineRule="exact"/>
        <w:rPr>
          <w:sz w:val="20"/>
          <w:szCs w:val="20"/>
          <w:color w:val="auto"/>
        </w:rPr>
      </w:pPr>
    </w:p>
    <w:p>
      <w:pPr>
        <w:ind w:right="80" w:firstLine="63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In July 2023, the Company’s board of directors adopted the Amylyx Pharmaceuticals, Inc. 2023 Inducement Plan,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Inducement Plan, to grant equity awards to induce highly-qualified prospective officers and employees who are not currently employed by the Company to accept employment and provide them with a proprietary interest in the Company. The Company has reserved 750,000 shares of its common stock that may be issued under the Inducement Plan. As of December 31, 2023, there were 529,167 shares available for future issuance under the Inducement Plan.</w:t>
      </w:r>
    </w:p>
    <w:p>
      <w:pPr>
        <w:spacing w:after="0" w:line="175"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In January 2022, the Company’s board of directors adopted the 2022 Employee Stock Purchase Plan, or ESPP,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was subsequently approved by the Company's stockholders. The ESPP initially reserves and authorizes the issuance of up to a total of 605,000 shares of common stock to participating employees. The ESPP provides that the number of shares reserved and available for issuance will automatically increase each January 1, beginning on January 1, 2023 and each January 1 thereafter through January 1, 2032, by the least of (i) 1% of the outstanding number of shares of our common stock on the immediately preceding December 31, (ii) 1,210,000 shares or (iii) such number of shares of common stock as determined by the ESPP administrator. The initial purchase period under the ESPP has not yet commenced. As of December 31, 2023, there were 1,270,120 shares available for future issuance under the ESPP.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Option Information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66" w:name="page167"/>
    <w:bookmarkEnd w:id="166"/>
    <w:p>
      <w:pPr>
        <w:ind w:right="300" w:firstLine="637"/>
        <w:spacing w:after="0" w:line="281" w:lineRule="auto"/>
        <w:rPr>
          <w:sz w:val="20"/>
          <w:szCs w:val="20"/>
          <w:color w:val="auto"/>
        </w:rPr>
      </w:pPr>
      <w:r>
        <w:rPr>
          <w:rFonts w:ascii="Times New Roman" w:cs="Times New Roman" w:eastAsia="Times New Roman" w:hAnsi="Times New Roman"/>
          <w:sz w:val="18"/>
          <w:szCs w:val="18"/>
          <w:color w:val="auto"/>
        </w:rPr>
        <w:t>The Company estimates the fair value of stock option awards on the grant date using the Black-Scholes option pricing model with the following weighted-average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29.58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7.69</w:t>
            </w:r>
          </w:p>
        </w:tc>
        <w:tc>
          <w:tcPr>
            <w:tcW w:w="60" w:type="dxa"/>
            <w:vAlign w:val="bottom"/>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3.77 %</w:t>
            </w: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tcPr>
          <w:p>
            <w:pPr>
              <w:spacing w:after="0"/>
              <w:rPr>
                <w:sz w:val="21"/>
                <w:szCs w:val="21"/>
                <w:color w:val="auto"/>
              </w:rPr>
            </w:pP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70.35 %</w:t>
            </w: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88.75 %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81.61 %</w:t>
            </w: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560" w:firstLine="637"/>
        <w:spacing w:after="0" w:line="281" w:lineRule="auto"/>
        <w:rPr>
          <w:sz w:val="20"/>
          <w:szCs w:val="20"/>
          <w:color w:val="auto"/>
        </w:rPr>
      </w:pPr>
      <w:r>
        <w:rPr>
          <w:rFonts w:ascii="Times New Roman" w:cs="Times New Roman" w:eastAsia="Times New Roman" w:hAnsi="Times New Roman"/>
          <w:sz w:val="18"/>
          <w:szCs w:val="18"/>
          <w:color w:val="auto"/>
        </w:rPr>
        <w:t>The per share weighted average grant date fair value of stock options granted during the year ended December 31, 2023, 2022 and 2021 was $19.56, $15.10 and $5.25, respectively.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option activity for the year ended December 31, 2023,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8,480,950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2,864,696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(1,010,376 )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(512,022 )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9,823,248</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3,877,634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5,945,614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-333375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-316230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jc w:val="both"/>
        <w:ind w:right="360" w:firstLine="749"/>
        <w:spacing w:after="0" w:line="288"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options and the fair value of the Company’s common stock for those options that had exercise prices lower than the fair value of the Company’s common stock. The aggregate intrinsic value of options exercised during the years ended December 31, 2023, 2022 and 2021 was $20.6 million, $14.2 million and $6.2 million respectively.</w:t>
      </w:r>
    </w:p>
    <w:p>
      <w:pPr>
        <w:spacing w:after="0" w:line="159" w:lineRule="exact"/>
        <w:rPr>
          <w:sz w:val="20"/>
          <w:szCs w:val="20"/>
          <w:color w:val="auto"/>
        </w:rPr>
      </w:pPr>
    </w:p>
    <w:p>
      <w:pPr>
        <w:ind w:right="320" w:firstLine="644"/>
        <w:spacing w:after="0" w:line="281" w:lineRule="auto"/>
        <w:rPr>
          <w:sz w:val="20"/>
          <w:szCs w:val="20"/>
          <w:color w:val="auto"/>
        </w:rPr>
      </w:pPr>
      <w:r>
        <w:rPr>
          <w:rFonts w:ascii="Times New Roman" w:cs="Times New Roman" w:eastAsia="Times New Roman" w:hAnsi="Times New Roman"/>
          <w:sz w:val="18"/>
          <w:szCs w:val="18"/>
          <w:color w:val="auto"/>
        </w:rPr>
        <w:t>The total fair value of stock options vested during the years ended December 31, 2023, 2022 and 2021 was $31.2 million, $8.8 million and $1.3 million,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Activity</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2023,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740,297</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637,664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(185,045 )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(80,374 )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1,112,542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right="52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r>
        <w:rPr>
          <w:rFonts w:ascii="Times New Roman" w:cs="Times New Roman" w:eastAsia="Times New Roman" w:hAnsi="Times New Roman"/>
          <w:sz w:val="18"/>
          <w:szCs w:val="18"/>
          <w:color w:val="auto"/>
        </w:rPr>
        <w:t>The Company recorded stock-based compensation expense in the following expense categories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of operations:</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8" w:right="2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The Company capitalized stock-based compensation expense of $0.4 million, less than $0.1 million, and zero for the years ended December 31, 2023, 2022 and 2021, respectively. Stock-based compensation recognized through cost of sales were $0.2 million, less than $0.1 million, and zero for years ended December 31, 2023, 2022 and 2021, respectively.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by type of award: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80" w:firstLine="644"/>
        <w:spacing w:after="0" w:line="265" w:lineRule="auto"/>
        <w:rPr>
          <w:sz w:val="20"/>
          <w:szCs w:val="20"/>
          <w:color w:val="auto"/>
        </w:rPr>
      </w:pPr>
      <w:r>
        <w:rPr>
          <w:rFonts w:ascii="Times New Roman" w:cs="Times New Roman" w:eastAsia="Times New Roman" w:hAnsi="Times New Roman"/>
          <w:sz w:val="18"/>
          <w:szCs w:val="18"/>
          <w:color w:val="auto"/>
        </w:rPr>
        <w:t>The following table summarizes unrecognized stock-based compensation expense as of December 31, 2023, by type of awards, and the weighted-average period over which that expense is expected to be recognized. The total unrecognized stock-based compensation expense will be adjusted for actual forfeitures as they occur.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7"/>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tcBorders>
              <w:top w:val="single" w:sz="8" w:color="auto"/>
            </w:tcBorders>
            <w:gridSpan w:val="7"/>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460" w:type="dxa"/>
            <w:vAlign w:val="bottom"/>
            <w:tcBorders>
              <w:top w:val="single" w:sz="8" w:color="auto"/>
            </w:tcBorders>
            <w:gridSpan w:val="3"/>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7"/>
            <w:vMerge w:val="continue"/>
          </w:tcPr>
          <w:p>
            <w:pPr>
              <w:spacing w:after="0"/>
              <w:rPr>
                <w:sz w:val="16"/>
                <w:szCs w:val="16"/>
                <w:color w:val="auto"/>
              </w:rPr>
            </w:pP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78,966</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Pr>
          <w:p>
            <w:pPr>
              <w:spacing w:after="0"/>
              <w:rPr>
                <w:sz w:val="20"/>
                <w:szCs w:val="20"/>
                <w:color w:val="auto"/>
              </w:rPr>
            </w:pP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components of net loss before the provision for income taxes are as follows: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52,263</w:t>
            </w:r>
          </w:p>
        </w:tc>
        <w:tc>
          <w:tcPr>
            <w:tcW w:w="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(198,704 )</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(87,904 )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54,297</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(197,601 )</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(87,931 )</w:t>
            </w:r>
          </w:p>
        </w:tc>
        <w:tc>
          <w:tcPr>
            <w:tcW w:w="0" w:type="dxa"/>
            <w:vAlign w:val="bottom"/>
          </w:tcPr>
          <w:p>
            <w:pPr>
              <w:spacing w:after="0"/>
              <w:rPr>
                <w:sz w:val="1"/>
                <w:szCs w:val="1"/>
                <w:color w:val="auto"/>
              </w:rPr>
            </w:pPr>
          </w:p>
        </w:tc>
      </w:tr>
      <w:tr>
        <w:trPr>
          <w:trHeight w:val="416"/>
        </w:trPr>
        <w:tc>
          <w:tcPr>
            <w:tcW w:w="6620" w:type="dxa"/>
            <w:vAlign w:val="bottom"/>
            <w:tcBorders>
              <w:top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The provision for income taxes is as follows:</w:t>
            </w: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provision</w:t>
            </w: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 Federal</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 State</w:t>
            </w:r>
          </w:p>
        </w:tc>
        <w:tc>
          <w:tcPr>
            <w:tcW w:w="8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provision</w:t>
            </w:r>
          </w:p>
        </w:tc>
        <w:tc>
          <w:tcPr>
            <w:tcW w:w="8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(224 )</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66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6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-3064510</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-3047365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-3064510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-3047365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-3047365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-1403350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-1403350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2" w:right="339" w:bottom="843" w:gutter="0" w:footer="0" w:header="0"/>
        </w:sectPr>
      </w:pPr>
    </w:p>
    <w:bookmarkStart w:id="168" w:name="page169"/>
    <w:bookmarkEnd w:id="168"/>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A reconciliation of the Company’s effective income tax rate to the U.S. statutory federal income tax rate of 21% for the years ended December 31, 2023, 2022 and 2021 is as follows:</w:t>
      </w:r>
    </w:p>
    <w:p>
      <w:pPr>
        <w:spacing w:after="0" w:line="197"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r>
      <w:tr>
        <w:trPr>
          <w:trHeight w:val="22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at U.S. statutory tax rate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9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benefit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9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(12.6 )%</w:t>
            </w:r>
          </w:p>
        </w:tc>
        <w:tc>
          <w:tcPr>
            <w:tcW w:w="9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90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(0.5 )%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90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c>
          <w:tcPr>
            <w:tcW w:w="90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4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6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9.3 %</w:t>
            </w:r>
          </w:p>
        </w:tc>
        <w:tc>
          <w:tcPr>
            <w:tcW w:w="90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(0.4 )%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Deferred tax assets and liabilities were as follows:</w:t>
      </w:r>
    </w:p>
    <w:p>
      <w:pPr>
        <w:spacing w:after="0" w:line="25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and other</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Pr>
          <w:p>
            <w:pPr>
              <w:spacing w:after="0"/>
              <w:rPr>
                <w:sz w:val="20"/>
                <w:szCs w:val="20"/>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9"/>
              </w:rPr>
              <w:t>(83,922 )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(90,587 )</w:t>
            </w: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total deferred tax assets</w:t>
            </w:r>
          </w:p>
        </w:tc>
        <w:tc>
          <w:tcPr>
            <w:tcW w:w="980" w:type="dxa"/>
            <w:vAlign w:val="bottom"/>
            <w:tcBorders>
              <w:top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0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(1,328 )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(1,379 )</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(1,328 )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(1,379 )</w:t>
            </w:r>
          </w:p>
        </w:tc>
      </w:tr>
      <w:tr>
        <w:trPr>
          <w:trHeight w:val="276"/>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180" w:firstLine="637"/>
        <w:spacing w:after="0" w:line="254" w:lineRule="auto"/>
        <w:rPr>
          <w:sz w:val="20"/>
          <w:szCs w:val="20"/>
          <w:color w:val="auto"/>
        </w:rPr>
      </w:pPr>
      <w:r>
        <w:rPr>
          <w:rFonts w:ascii="Times New Roman" w:cs="Times New Roman" w:eastAsia="Times New Roman" w:hAnsi="Times New Roman"/>
          <w:sz w:val="18"/>
          <w:szCs w:val="18"/>
          <w:color w:val="auto"/>
        </w:rPr>
        <w:t>On a periodic basis the Company reassess the valuation allowance that has been established, weighing all positive and negative evidence. In 2023, the Company reassessed the valuation allowance and considered negative evidence, including cumulative losses over the three years ended December 31, 2023, and positive evidence, including recent regulatory approvals of ALBRIOZA and RELYVRIO, 2023 profitability and positive cash flow, and realization of a portion of prior year U.S. federal and state NOL and research and development tax credit carryforwards. After assessing both the negative and positive evidence, the Company concluded that a full valuation should continue to be retained against the net deferred tax assets as of December 31, 2023. It is possible that all or a portion of the valuation allowance will be released in the near-term. The release of the valuation allowance, as well as the exact timing and the amount of such release, continue to be subject to, among other things, levels of profitability, revenue growth, clinical program progression and expectations regarding future profitability.</w:t>
      </w:r>
    </w:p>
    <w:p>
      <w:pPr>
        <w:spacing w:after="0" w:line="189" w:lineRule="exact"/>
        <w:rPr>
          <w:sz w:val="20"/>
          <w:szCs w:val="20"/>
          <w:color w:val="auto"/>
        </w:rPr>
      </w:pPr>
    </w:p>
    <w:p>
      <w:pPr>
        <w:ind w:right="120" w:firstLine="637"/>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federal NOL loss carryforwards of approximately $69.8 million and $203.2 million, respectively, and state NOL loss carryforwards of approximately $124.6 million and $164.1 million, respectively, which are available to reduce future taxable income. All U.S. federal NOL carryforwards as of December 31, 2023 carry forward indefinitely. Of the $124.6 million state NOL carryforwards, $82.8 million relate to Massachusetts and begin to expire in 2035. As of December 31, 2023 and 2022, the Company also had federal tax credits of $6.8 million and $4.6 million, respectively, and state tax credits of $1.6 million and $1.2 million, respectively. The tax credit carryforwards will expire at various dates beginning in 2035.</w:t>
      </w:r>
    </w:p>
    <w:p>
      <w:pPr>
        <w:spacing w:after="0" w:line="186" w:lineRule="exact"/>
        <w:rPr>
          <w:sz w:val="20"/>
          <w:szCs w:val="20"/>
          <w:color w:val="auto"/>
        </w:rPr>
      </w:pPr>
    </w:p>
    <w:p>
      <w:pPr>
        <w:ind w:right="100" w:firstLine="637"/>
        <w:spacing w:after="0" w:line="281" w:lineRule="auto"/>
        <w:rPr>
          <w:sz w:val="20"/>
          <w:szCs w:val="20"/>
          <w:color w:val="auto"/>
        </w:rPr>
      </w:pPr>
      <w:r>
        <w:rPr>
          <w:rFonts w:ascii="Times New Roman" w:cs="Times New Roman" w:eastAsia="Times New Roman" w:hAnsi="Times New Roman"/>
          <w:sz w:val="18"/>
          <w:szCs w:val="18"/>
          <w:color w:val="auto"/>
        </w:rPr>
        <w:t>The utilization of NOL and research and development tax credit carryforwards may be subject to a substantial annual limitation under Sections 382 and 383 of the IRC. Ownership changes occurred in the years ended December 31, 2016 and</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8" w:right="239" w:bottom="1440" w:gutter="0" w:footer="0" w:header="0"/>
        </w:sectPr>
      </w:pPr>
    </w:p>
    <w:bookmarkStart w:id="169" w:name="page170"/>
    <w:bookmarkEnd w:id="169"/>
    <w:p>
      <w:pPr>
        <w:ind w:right="640"/>
        <w:spacing w:after="0" w:line="281" w:lineRule="auto"/>
        <w:rPr>
          <w:sz w:val="20"/>
          <w:szCs w:val="20"/>
          <w:color w:val="auto"/>
        </w:rPr>
      </w:pPr>
      <w:r>
        <w:rPr>
          <w:rFonts w:ascii="Times New Roman" w:cs="Times New Roman" w:eastAsia="Times New Roman" w:hAnsi="Times New Roman"/>
          <w:sz w:val="18"/>
          <w:szCs w:val="18"/>
          <w:color w:val="auto"/>
        </w:rPr>
        <w:t>2023. These ownership changes do not impact the Company’s overall ability to utilize NOL carryforwards and research and development tax credit carryforwards but may limit the amount that can be utilized annually to offset future taxable income.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reflects the roll-forward of the Company’s valuation allowance for the years ended December 31, 2023, 2022 and 2021:</w:t>
      </w:r>
    </w:p>
    <w:p>
      <w:pPr>
        <w:spacing w:after="0" w:line="259"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90,587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increases recorded to income tax provision</w:t>
            </w:r>
          </w:p>
        </w:tc>
        <w:tc>
          <w:tcPr>
            <w:tcW w:w="8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(6,665 )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83,922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90,587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0" w:firstLine="637"/>
        <w:spacing w:after="0" w:line="281" w:lineRule="auto"/>
        <w:rPr>
          <w:sz w:val="20"/>
          <w:szCs w:val="20"/>
          <w:color w:val="auto"/>
        </w:rPr>
      </w:pPr>
      <w:r>
        <w:rPr>
          <w:rFonts w:ascii="Times New Roman" w:cs="Times New Roman" w:eastAsia="Times New Roman" w:hAnsi="Times New Roman"/>
          <w:sz w:val="18"/>
          <w:szCs w:val="18"/>
          <w:color w:val="auto"/>
        </w:rPr>
        <w:t>The decrease in the valuation allowance recorded during the year primarily relates to taxable income resulting pre-tax profits earned in 2023 and increased as a result of required capitalization of research and development costs.</w:t>
      </w:r>
    </w:p>
    <w:p>
      <w:pPr>
        <w:spacing w:after="0" w:line="163" w:lineRule="exact"/>
        <w:rPr>
          <w:sz w:val="20"/>
          <w:szCs w:val="20"/>
          <w:color w:val="auto"/>
        </w:rPr>
      </w:pPr>
    </w:p>
    <w:p>
      <w:pPr>
        <w:jc w:val="both"/>
        <w:ind w:right="60" w:firstLine="637"/>
        <w:spacing w:after="0" w:line="260" w:lineRule="auto"/>
        <w:rPr>
          <w:sz w:val="20"/>
          <w:szCs w:val="20"/>
          <w:color w:val="auto"/>
        </w:rPr>
      </w:pPr>
      <w:r>
        <w:rPr>
          <w:rFonts w:ascii="Times New Roman" w:cs="Times New Roman" w:eastAsia="Times New Roman" w:hAnsi="Times New Roman"/>
          <w:sz w:val="18"/>
          <w:szCs w:val="18"/>
          <w:color w:val="auto"/>
        </w:rPr>
        <w:t>The Company accounts for uncertainty in income taxes under the provisions of ASC 740 which defines the thresholds for recognizing the benefits of tax return positions in the consolidated financial statements as “more likely than not” to be sustained by the taxing authority. The tax benefit is measured based on the largest benefit that has a greater than 50% likelihood of being realized upon ultimate settlement. A reconciliation of the beginning and ending amount of gross unrecognized tax benefits is as follows:</w:t>
      </w:r>
    </w:p>
    <w:p>
      <w:pPr>
        <w:spacing w:after="0" w:line="2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 (decreases) related to tax positions taken during prior years</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color w:val="auto"/>
        </w:rPr>
        <w:t>The Company has reviewed the tax positions taken, or to be taken, in its tax returns for all tax years currently open to examination by a taxing authority. All uncertain tax benefits, if recognized, would impact the effective tax rate if recognized, offset by changes to the Company’s valuation allowance which also would impact the effective tax rate. The Company does not expect the amount of unrecognized tax benefits to materially change over next 12 months. The Company accrues interest and penalties related to unrecognized tax benefits as a component of its provision for income taxes. The Company did not recognize any interest or penalties related to uncertain tax positions during the years ended December 31, 2023, 2022 and 2021.</w:t>
      </w:r>
    </w:p>
    <w:p>
      <w:pPr>
        <w:spacing w:after="0" w:line="182" w:lineRule="exact"/>
        <w:rPr>
          <w:sz w:val="20"/>
          <w:szCs w:val="20"/>
          <w:color w:val="auto"/>
        </w:rPr>
      </w:pPr>
    </w:p>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The Company files U.S. federal, foreign and state income tax returns in various jurisdictions. The status of limitations varies by jurisdiction. There are currently no federal or state audits or examinations in process.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21" w:lineRule="exact"/>
        <w:rPr>
          <w:sz w:val="20"/>
          <w:szCs w:val="20"/>
          <w:color w:val="auto"/>
        </w:rPr>
      </w:pPr>
    </w:p>
    <w:p>
      <w:pPr>
        <w:jc w:val="both"/>
        <w:ind w:right="100" w:firstLine="1123"/>
        <w:spacing w:after="0" w:line="272" w:lineRule="auto"/>
        <w:rPr>
          <w:sz w:val="20"/>
          <w:szCs w:val="20"/>
          <w:color w:val="auto"/>
        </w:rPr>
      </w:pPr>
      <w:r>
        <w:rPr>
          <w:rFonts w:ascii="Times New Roman" w:cs="Times New Roman" w:eastAsia="Times New Roman" w:hAnsi="Times New Roman"/>
          <w:sz w:val="17"/>
          <w:szCs w:val="17"/>
          <w:color w:val="auto"/>
        </w:rPr>
        <w:t>The Company maintains a tax-qualified retirement plan that provides eligible U.S. employees with an opportunity to save for retirement on a tax-advantaged basis. Plan participants are able to defer eligible compensation subject to applicable annual IRC limits. For the year ended December 31, 2022, the Company provided a safe-harbor contribution of 3% of employee compensation to employees who satisfy the minimum service requirements.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Effective October 1, 2023, the safe-harbor contribution was increased to 5%. The Company made $2.3 million and $1.2 million of safe-harbor contributions for the years ended December 31, 2023 and 2022, respectively.</w:t>
      </w:r>
    </w:p>
    <w:p>
      <w:pPr>
        <w:spacing w:after="0" w:line="284" w:lineRule="exact"/>
        <w:rPr>
          <w:sz w:val="20"/>
          <w:szCs w:val="20"/>
          <w:color w:val="auto"/>
        </w:rPr>
      </w:pPr>
    </w:p>
    <w:p>
      <w:pPr>
        <w:ind w:left="280" w:hanging="272"/>
        <w:spacing w:after="0"/>
        <w:tabs>
          <w:tab w:leader="none" w:pos="2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common shares outstanding during the period. Diluted earnings per share is calculated based on the combined weighted average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70" w:name="page171"/>
    <w:bookmarkEnd w:id="170"/>
    <w:p>
      <w:pPr>
        <w:ind w:right="380"/>
        <w:spacing w:after="0" w:line="281" w:lineRule="auto"/>
        <w:rPr>
          <w:sz w:val="20"/>
          <w:szCs w:val="20"/>
          <w:color w:val="auto"/>
        </w:rPr>
      </w:pPr>
      <w:r>
        <w:rPr>
          <w:rFonts w:ascii="Times New Roman" w:cs="Times New Roman" w:eastAsia="Times New Roman" w:hAnsi="Times New Roman"/>
          <w:sz w:val="18"/>
          <w:szCs w:val="18"/>
          <w:color w:val="auto"/>
        </w:rPr>
        <w:t>number of common shares and potentially dilutive shares, which include the assumed exercise of employee stock options and unvested restricted stock units. In computing diluted earnings per share, the Company utilizes the treasury stock method.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follows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0"/>
                <w:szCs w:val="20"/>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(198,375 )</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(87,931 )</w:t>
            </w:r>
          </w:p>
        </w:tc>
      </w:tr>
      <w:tr>
        <w:trPr>
          <w:trHeight w:val="23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Weighted-average shares used to compute basic net income (loss) per share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67,234,465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58,495,587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6,586,349</w:t>
            </w:r>
          </w:p>
        </w:tc>
        <w:tc>
          <w:tcPr>
            <w:tcW w:w="100" w:type="dxa"/>
            <w:vAlign w:val="bottom"/>
          </w:tcPr>
          <w:p>
            <w:pPr>
              <w:spacing w:after="0"/>
              <w:rPr>
                <w:sz w:val="19"/>
                <w:szCs w:val="19"/>
                <w:color w:val="auto"/>
              </w:rPr>
            </w:pPr>
          </w:p>
        </w:tc>
      </w:tr>
      <w:tr>
        <w:trPr>
          <w:trHeight w:val="232"/>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Dilutive effect of employee stock options and restricted stock units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2,756,875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Weighted-average shares used to compute diluted net income (loss) per share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69,991,340</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58,495,587</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6,586,349</w:t>
            </w:r>
          </w:p>
        </w:tc>
        <w:tc>
          <w:tcPr>
            <w:tcW w:w="100" w:type="dxa"/>
            <w:vAlign w:val="bottom"/>
            <w:tcBorders>
              <w:top w:val="single" w:sz="8" w:color="CFF0FC"/>
            </w:tcBorders>
          </w:tcPr>
          <w:p>
            <w:pPr>
              <w:spacing w:after="0"/>
              <w:rPr>
                <w:sz w:val="19"/>
                <w:szCs w:val="19"/>
                <w:color w:val="auto"/>
              </w:rPr>
            </w:pPr>
          </w:p>
        </w:tc>
      </w:tr>
      <w:tr>
        <w:trPr>
          <w:trHeight w:val="23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(3.39 )</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(13.35 )</w:t>
            </w:r>
          </w:p>
        </w:tc>
      </w:tr>
      <w:tr>
        <w:trPr>
          <w:trHeight w:val="239"/>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(3.39 )</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-589915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-589915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Because the Company reported a net loss for the twelve months ended December 31, 2022 and 2021, basic and diluted net loss per share were the same. All stock options and restricted stock units were excluded from the computation of diluted weighted-average shares outstanding because such securities would have an antidilutive impact for the twelve months ended December 31, 2022 and 2021. The following stock options and restricted stock units outstanding at each period end have been excluded from the calculation of diluted net income (loss) per share because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5,775,303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8,480,950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5,339,011</w:t>
            </w:r>
          </w:p>
        </w:tc>
        <w:tc>
          <w:tcPr>
            <w:tcW w:w="100" w:type="dxa"/>
            <w:vAlign w:val="bottom"/>
            <w:shd w:val="clear" w:color="auto" w:fill="CFF0FC"/>
          </w:tcPr>
          <w:p>
            <w:pPr>
              <w:spacing w:after="0"/>
              <w:rPr>
                <w:sz w:val="20"/>
                <w:szCs w:val="20"/>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543,233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740,297</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39,474,330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excluded common stock equivalents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9,221,247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44,813,341</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In connection with the issuance of the 2021 Notes, the Company issued, in aggregate, $14.3 million of convertible promissory notes to Morningside Ventures Investments Limited, and certain members of the board of directors of the Company. Morningside Ventures Investments Limited was a 5% significant stockholder of the Company at the time of the transaction. These notes were issued under the same terms and conditions as the 2021 Notes (see Note 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Agreements</w:t>
      </w:r>
    </w:p>
    <w:p>
      <w:pPr>
        <w:spacing w:after="0" w:line="229" w:lineRule="exact"/>
        <w:rPr>
          <w:sz w:val="20"/>
          <w:szCs w:val="20"/>
          <w:color w:val="auto"/>
        </w:rPr>
      </w:pPr>
    </w:p>
    <w:p>
      <w:pPr>
        <w:ind w:right="180" w:firstLine="637"/>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the Company may purchase materials or supplies or services from entities that are associated with a party that meets the criteria of a related party of the Company. These transactions are reviewed quarterly and to date have not been material to the Company’s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ind w:right="480" w:firstLine="63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color w:val="auto"/>
        </w:rPr>
        <w:t>As of December 31, 2023, the Company is not a party to any material legal proceedings. At each reporting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evaluates whether or not a potential loss amount or potential range of loss is probable and reasonably estimated under the provisions of the authoritative guidance that addresses accounting for contingencies. The Company recognizes expenses for its costs related to its legal proceedings, as incurred.</w:t>
      </w:r>
    </w:p>
    <w:p>
      <w:pPr>
        <w:spacing w:after="0" w:line="175" w:lineRule="exact"/>
        <w:rPr>
          <w:sz w:val="20"/>
          <w:szCs w:val="20"/>
          <w:color w:val="auto"/>
        </w:rPr>
      </w:pPr>
    </w:p>
    <w:p>
      <w:pPr>
        <w:ind w:right="52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Royalty Payments—</w:t>
      </w:r>
      <w:r>
        <w:rPr>
          <w:rFonts w:ascii="Times New Roman" w:cs="Times New Roman" w:eastAsia="Times New Roman" w:hAnsi="Times New Roman"/>
          <w:sz w:val="18"/>
          <w:szCs w:val="18"/>
          <w:color w:val="auto"/>
        </w:rPr>
        <w:t>Between August 2016 and February 2019, the Company entered into grant agreements with the ALS Association, 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Finding a Cure Foundation, Alzheimer’s Drug Discovery Foundation, Alzheimer’s Association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71" w:name="page172"/>
    <w:bookmarkEnd w:id="171"/>
    <w:p>
      <w:pPr>
        <w:ind w:right="20"/>
        <w:spacing w:after="0" w:line="258" w:lineRule="auto"/>
        <w:rPr>
          <w:sz w:val="20"/>
          <w:szCs w:val="20"/>
          <w:color w:val="auto"/>
        </w:rPr>
      </w:pPr>
      <w:r>
        <w:rPr>
          <w:rFonts w:ascii="Times New Roman" w:cs="Times New Roman" w:eastAsia="Times New Roman" w:hAnsi="Times New Roman"/>
          <w:sz w:val="18"/>
          <w:szCs w:val="18"/>
          <w:color w:val="auto"/>
        </w:rPr>
        <w:t>Cure Alzheimer’s Fund, or Grantors. Under the terms of the agreements, the Company was granted, in aggregate, $4.3 million. These grants were provided to the Company for the purpose of furthering the research and development of AMX0035 as a therapeutic benefit for ALS and Alzheimer’s disease. Under the terms of the arrangements, the Company would receive a tranche of funds as it completed certain milestones. Pursuant to the terms of the grant agreements, the Company has certain payment obligations that are contingent upon future events such as the achievement of commercialization or the receipt of proceeds from a revenue generating transaction resulting from the projects for which the grants are used for.</w:t>
      </w:r>
    </w:p>
    <w:p>
      <w:pPr>
        <w:spacing w:after="0" w:line="182"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Pursuant to the terms of the respective grant agreements among the Company, ALS Association and ALS Finding a Cure, the Company will be required to make royalty payments to each Grantor in the total amount equal to 150% of the grant received. The royalty payments will be achieved through a combination of the following payment methods: (i) an annual installment payment of 3% of net sales of any products developed under the project for which the grant was used for and (ii) 3% of cash proceeds resulting from revenue generating transaction under the project for which the grants are used for. During the years ended December 31, 2023, 2022 and 2021, the Company recorded $3.1 million, $1.4 million and zero in royalty expense, respectively, which is included in cost of sales in the consolidated financial statements. As of December 31, 2023, no further royalties remain to be accrued under the grant agreements with the ALS Association and ALS Finding a Cure Foundation.</w:t>
      </w:r>
    </w:p>
    <w:p>
      <w:pPr>
        <w:spacing w:after="0" w:line="187" w:lineRule="exact"/>
        <w:rPr>
          <w:sz w:val="20"/>
          <w:szCs w:val="20"/>
          <w:color w:val="auto"/>
        </w:rPr>
      </w:pPr>
    </w:p>
    <w:p>
      <w:pPr>
        <w:ind w:right="120" w:firstLine="637"/>
        <w:spacing w:after="0" w:line="255" w:lineRule="auto"/>
        <w:rPr>
          <w:sz w:val="20"/>
          <w:szCs w:val="20"/>
          <w:color w:val="auto"/>
        </w:rPr>
      </w:pPr>
      <w:r>
        <w:rPr>
          <w:rFonts w:ascii="Times New Roman" w:cs="Times New Roman" w:eastAsia="Times New Roman" w:hAnsi="Times New Roman"/>
          <w:sz w:val="18"/>
          <w:szCs w:val="18"/>
          <w:color w:val="auto"/>
        </w:rPr>
        <w:t>Under the terms of the respective grant agreements among the Company, Alzheimer’s Drug Discovery Foundation, the Alzheimer’s Association, and Cure Alzheimer’s Fund, the Company will make royalty payments up to the maximum amount of $15.0 million to each Grantor (or $45.0 million in aggregate). The royalty payment will be made through a combination of the following payment methods: (i) 4% of annual net sales of any product commercialized from the project for which the grant was used for and directly related to the treatment of the Alzheimer’s disease and (ii) 15% of all royalties and cash proceeds resulting from revenue generating transactions associated with the projects for which the grants were used for under the grant agreements. As the conditions that would trigger royalty payments under the agreements have not occurred, no amounts have been recorded in the consolidated financial statements for the years ended December 31, 2023 and 2022.</w:t>
      </w:r>
    </w:p>
    <w:p>
      <w:pPr>
        <w:spacing w:after="0" w:line="183" w:lineRule="exact"/>
        <w:rPr>
          <w:sz w:val="20"/>
          <w:szCs w:val="20"/>
          <w:color w:val="auto"/>
        </w:rPr>
      </w:pPr>
    </w:p>
    <w:p>
      <w:pPr>
        <w:ind w:right="180" w:firstLine="63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Purchase Commitments—</w:t>
      </w:r>
      <w:r>
        <w:rPr>
          <w:rFonts w:ascii="Times New Roman" w:cs="Times New Roman" w:eastAsia="Times New Roman" w:hAnsi="Times New Roman"/>
          <w:sz w:val="18"/>
          <w:szCs w:val="18"/>
          <w:color w:val="auto"/>
        </w:rPr>
        <w:t>The Company enters into agreements in the normal course of business with contract manufacturing organizations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raw material purchases and manufacturing services. As of December 31, 2023, the Company had committed approximately $195.0 million under these agreements related to raw material purchases and manufacturing services, which are expected to be paid through 2028.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On February 9, 2024, a putative class action lawsuit was filed in the U.S. District Court for the Southern District of New York against the Company and certain of its current and former officers (</w:t>
      </w:r>
      <w:r>
        <w:rPr>
          <w:rFonts w:ascii="Times New Roman" w:cs="Times New Roman" w:eastAsia="Times New Roman" w:hAnsi="Times New Roman"/>
          <w:sz w:val="18"/>
          <w:szCs w:val="18"/>
          <w:i w:val="1"/>
          <w:iCs w:val="1"/>
          <w:color w:val="auto"/>
        </w:rPr>
        <w:t>Shih v. Amylyx Pharmaceuticals, Inc., et al.</w:t>
      </w:r>
      <w:r>
        <w:rPr>
          <w:rFonts w:ascii="Times New Roman" w:cs="Times New Roman" w:eastAsia="Times New Roman" w:hAnsi="Times New Roman"/>
          <w:sz w:val="18"/>
          <w:szCs w:val="18"/>
          <w:color w:val="auto"/>
        </w:rPr>
        <w:t>, Case Number 1:24-CV-00988 (the “Shih Complaint”). The Shih Complaint asserts a claim against all defendants for alleged violations of Section 10(b) of the Exchange Act and Rule 10b-5 promulgated thereunder and a claim under Section 20(a) against certain current and former officers as alleged controlling persons. The Shih Complaint alleges that defendants made materially false and misleading statements related to the commercial results and prospects for RELYVRIO. The Shih Complaint seeks unspecified damages, interest, costs and attorneys’ fees, and other unspecified relief that the court deems appropriate. The Company intends to defend against the Shih Complaint vigorously. At this time, an estimate of the impact, if any, of these claims cannot be made.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2nd AMENDMENT TO EMPLOYMENT AGREEMENT</w:t>
      </w:r>
    </w:p>
    <w:p>
      <w:pPr>
        <w:spacing w:after="0" w:line="229"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This 2nd Amendment to Employment Agreement (“Amendment”) is made between Amylyx Pharmaceuticals, Inc., a Delaware corporation (the “Company”) and Patrick Yeramian, M.D. (“Executive”) and is effective as of November 27, 2023 (the “Effective Date”).</w:t>
      </w:r>
    </w:p>
    <w:p>
      <w:pPr>
        <w:spacing w:after="0" w:line="163" w:lineRule="exact"/>
        <w:rPr>
          <w:sz w:val="20"/>
          <w:szCs w:val="20"/>
          <w:color w:val="auto"/>
        </w:rPr>
      </w:pPr>
    </w:p>
    <w:p>
      <w:pPr>
        <w:ind w:right="500" w:firstLine="749"/>
        <w:spacing w:after="0" w:line="312" w:lineRule="auto"/>
        <w:rPr>
          <w:sz w:val="20"/>
          <w:szCs w:val="20"/>
          <w:color w:val="auto"/>
        </w:rPr>
      </w:pPr>
      <w:r>
        <w:rPr>
          <w:rFonts w:ascii="Times New Roman" w:cs="Times New Roman" w:eastAsia="Times New Roman" w:hAnsi="Times New Roman"/>
          <w:sz w:val="17"/>
          <w:szCs w:val="17"/>
          <w:color w:val="auto"/>
        </w:rPr>
        <w:t>WHEREAS, the Company and Executive are parties to that certain Employment Agreement, effective January 11, 2022 (the “Employment Agreement”), as amended in that certain Amendment to Employment Agreement effective December 1, 2022 (the “Amendment”); and</w:t>
      </w:r>
    </w:p>
    <w:p>
      <w:pPr>
        <w:spacing w:after="0" w:line="139"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8"/>
          <w:szCs w:val="18"/>
          <w:color w:val="auto"/>
        </w:rPr>
        <w:t>WHEREAS, the parties wish to amend the Employment Agreement to reflect that Executive will no longer be Chief Medical Officer but will have the title Strategic Advisor for the remainder of his employment; and</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all other terms and conditions of the Employment Agreement, inclusive of the Amendment, will remain effective.</w:t>
      </w:r>
    </w:p>
    <w:p>
      <w:pPr>
        <w:spacing w:after="0" w:line="225"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70" w:lineRule="exact"/>
        <w:rPr>
          <w:sz w:val="20"/>
          <w:szCs w:val="20"/>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Section 1(b) of the Employment Agreement is hereby replaced in its entirety with the following paragraph:</w:t>
      </w:r>
    </w:p>
    <w:p>
      <w:pPr>
        <w:spacing w:after="0" w:line="224" w:lineRule="exact"/>
        <w:rPr>
          <w:rFonts w:ascii="Times New Roman" w:cs="Times New Roman" w:eastAsia="Times New Roman" w:hAnsi="Times New Roman"/>
          <w:sz w:val="18"/>
          <w:szCs w:val="18"/>
          <w:color w:val="auto"/>
        </w:rPr>
      </w:pPr>
    </w:p>
    <w:p>
      <w:pPr>
        <w:ind w:left="1500" w:right="60" w:firstLine="5"/>
        <w:spacing w:after="0" w:line="255" w:lineRule="auto"/>
        <w:tabs>
          <w:tab w:leader="none" w:pos="193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xml:space="preserve"> The Executive shall serve as Strategic Advisor to the Company and shall have such powers and duties as may from time to time be prescribed by the Co-Chief Executive Officers (individually and collectively, the “CEO”) or other duly authorized executive. The Executive shall devote the Executive’s full working time and efforts to the business and affairs of the Company; provided, however, that Executive’s full working time and efforts shall be twenty (20) hours per week. Notwithstanding the foregoing, the Executive may serve on other boards of directors, with the approval of the Board of Directors of the Company (the “Board”), or engage in religious, charitable or other community activities as long as such services and activities do not interfere with the Executive’s performance of the Executive’s duties to the Company.</w:t>
      </w:r>
    </w:p>
    <w:p>
      <w:pPr>
        <w:spacing w:after="0" w:line="186" w:lineRule="exact"/>
        <w:rPr>
          <w:rFonts w:ascii="Times New Roman" w:cs="Times New Roman" w:eastAsia="Times New Roman" w:hAnsi="Times New Roman"/>
          <w:sz w:val="18"/>
          <w:szCs w:val="18"/>
          <w:color w:val="auto"/>
        </w:rPr>
      </w:pPr>
    </w:p>
    <w:p>
      <w:pPr>
        <w:ind w:left="1020" w:right="460" w:hanging="504"/>
        <w:spacing w:after="0" w:line="265"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other terms and conditions in the Employment Agreement, inclusive of the Amendment, shall remain in full force and effect according to their respective terms, and nothing contained herein shall be deemed a waiver of any right or abrogation of any obligations existing under the Employment Agreement except to the extent specifically provided for herein.</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place where this Amendment may be executed by any of the parties hereto, the parties expressly agree that all of the terms and provisions hereof shall be construed in accordance with and governed by the laws of the Commonwealth of Massachusetts, without giving effect to the principles of choice or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73" w:name="page174"/>
    <w:bookmarkEnd w:id="173"/>
    <w:p>
      <w:pPr>
        <w:ind w:left="1020" w:right="100" w:hanging="504"/>
        <w:spacing w:after="0" w:line="258"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shall be deemed an original, but all of which together shall constitute one and the same instrument. Signatures on this Amendment may be conveyed by facsimile or other electronic transmission and shall be binding upon the parties so transmitting their signatures. Counterparts with original signatures shall be provided to the other parties following the applicable facsimile or other electronic transmission; provided, that failure to provide the original counterpart shall have no effect on the validity or the binding nature of this Amendment.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parties have executive this Amendment effective on the Effective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20" w:type="dxa"/>
            <w:vAlign w:val="bottom"/>
            <w:gridSpan w:val="2"/>
          </w:tcPr>
          <w:p>
            <w:pPr>
              <w:ind w:left="51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/s/ Justin Klee</w:t>
            </w:r>
          </w:p>
        </w:tc>
      </w:tr>
      <w:tr>
        <w:trPr>
          <w:trHeight w:val="207"/>
        </w:trPr>
        <w:tc>
          <w:tcPr>
            <w:tcW w:w="60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Justin Klee</w:t>
            </w:r>
          </w:p>
        </w:tc>
      </w:tr>
      <w:tr>
        <w:trPr>
          <w:trHeight w:val="238"/>
        </w:trPr>
        <w:tc>
          <w:tcPr>
            <w:tcW w:w="6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Co-Chief Executive Officer</w:t>
            </w:r>
          </w:p>
        </w:tc>
      </w:tr>
      <w:tr>
        <w:trPr>
          <w:trHeight w:val="458"/>
        </w:trPr>
        <w:tc>
          <w:tcPr>
            <w:tcW w:w="6920" w:type="dxa"/>
            <w:vAlign w:val="bottom"/>
            <w:gridSpan w:val="2"/>
          </w:tcPr>
          <w:p>
            <w:pPr>
              <w:ind w:left="518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320" w:type="dxa"/>
            <w:vAlign w:val="bottom"/>
          </w:tcPr>
          <w:p>
            <w:pPr>
              <w:spacing w:after="0"/>
              <w:rPr>
                <w:sz w:val="24"/>
                <w:szCs w:val="24"/>
                <w:color w:val="auto"/>
              </w:rPr>
            </w:pPr>
          </w:p>
        </w:tc>
      </w:tr>
      <w:tr>
        <w:trPr>
          <w:trHeight w:val="472"/>
        </w:trPr>
        <w:tc>
          <w:tcPr>
            <w:tcW w:w="6920" w:type="dxa"/>
            <w:vAlign w:val="bottom"/>
            <w:gridSpan w:val="2"/>
          </w:tcPr>
          <w:p>
            <w:pPr>
              <w:ind w:left="51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/s/ Patrick Yeramian</w:t>
            </w:r>
          </w:p>
        </w:tc>
      </w:tr>
      <w:tr>
        <w:trPr>
          <w:trHeight w:val="228"/>
        </w:trPr>
        <w:tc>
          <w:tcPr>
            <w:tcW w:w="60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Patrick Yeramian, M.D.</w:t>
            </w:r>
          </w:p>
        </w:tc>
      </w:tr>
      <w:tr>
        <w:trPr>
          <w:trHeight w:val="1526"/>
        </w:trPr>
        <w:tc>
          <w:tcPr>
            <w:tcW w:w="60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Amylyx Pharmaceuticals,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Camille Bedrosian, M.D., 25 Moncada Way, San Rafael, CA, 94901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employ the Executive and the Executive desires to be employed by the Company beginning on November 27,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on the terms and conditions contained herein.</w:t>
      </w:r>
    </w:p>
    <w:p>
      <w:pPr>
        <w:spacing w:after="0" w:line="184"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49" w:lineRule="exact"/>
        <w:rPr>
          <w:sz w:val="20"/>
          <w:szCs w:val="20"/>
          <w:color w:val="auto"/>
        </w:rPr>
      </w:pPr>
    </w:p>
    <w:p>
      <w:pPr>
        <w:ind w:left="1020" w:hanging="504"/>
        <w:spacing w:after="0"/>
        <w:tabs>
          <w:tab w:leader="none" w:pos="10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517"/>
        <w:spacing w:after="0" w:line="237" w:lineRule="auto"/>
        <w:tabs>
          <w:tab w:leader="none" w:pos="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0" w:lineRule="exact"/>
        <w:rPr>
          <w:rFonts w:ascii="Times New Roman" w:cs="Times New Roman" w:eastAsia="Times New Roman" w:hAnsi="Times New Roman"/>
          <w:sz w:val="22"/>
          <w:szCs w:val="22"/>
          <w:color w:val="auto"/>
        </w:rPr>
      </w:pPr>
    </w:p>
    <w:p>
      <w:pPr>
        <w:ind w:firstLine="517"/>
        <w:spacing w:after="0" w:line="234" w:lineRule="auto"/>
        <w:tabs>
          <w:tab w:leader="none" w:pos="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Medical Officer of the Company and shall have such powers and duties as may from time to time be prescribed by Co-Chief Executive Officers (collectively,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or other duly authorized executive. The Executive shall devote the Executive’s full working time and efforts to the business and affairs of the Company. Notwithstanding the foregoing, the Executive may serve on other boards of directors, with the approval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engage in religious, charitable or other community activities as long as such services and activities do not interfere with the Executive’s performance of the Executive’s duties to the Company. For the avoidance of doubt, the Board approves and the Company otherwise consents to the Executive’s service on the boards of directors of Rhythm Pharmaceuticals, Inc. and Crinetics Pharmaceuticals, Inc.</w:t>
      </w:r>
    </w:p>
    <w:p>
      <w:pPr>
        <w:spacing w:after="0" w:line="180" w:lineRule="exact"/>
        <w:rPr>
          <w:rFonts w:ascii="Times New Roman" w:cs="Times New Roman" w:eastAsia="Times New Roman" w:hAnsi="Times New Roman"/>
          <w:sz w:val="22"/>
          <w:szCs w:val="22"/>
          <w:color w:val="auto"/>
        </w:rPr>
      </w:pPr>
    </w:p>
    <w:p>
      <w:pPr>
        <w:ind w:right="280" w:firstLine="517"/>
        <w:spacing w:after="0"/>
        <w:tabs>
          <w:tab w:leader="none" w:pos="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xml:space="preserve">. The Executive’s primary work location will be San Rafael, California;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Executive will be expected to engage in reasonable travel to the Company’s headquarters, currently located in Cambridge, Massachusetts, from time to time, as well as to engage in other reasonable business travel, as reasonably required to perform the Executive’s duties and responsibilities under this Agreement.</w:t>
      </w:r>
    </w:p>
    <w:p>
      <w:pPr>
        <w:spacing w:after="0" w:line="178" w:lineRule="exact"/>
        <w:rPr>
          <w:rFonts w:ascii="Times New Roman" w:cs="Times New Roman" w:eastAsia="Times New Roman" w:hAnsi="Times New Roman"/>
          <w:sz w:val="22"/>
          <w:szCs w:val="22"/>
          <w:color w:val="auto"/>
        </w:rPr>
      </w:pPr>
    </w:p>
    <w:p>
      <w:pPr>
        <w:ind w:left="1020" w:hanging="504"/>
        <w:spacing w:after="0"/>
        <w:tabs>
          <w:tab w:leader="none" w:pos="10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20" w:firstLine="517"/>
        <w:spacing w:after="0" w:line="239" w:lineRule="auto"/>
        <w:tabs>
          <w:tab w:leader="none" w:pos="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initial base salary shall be paid at the rate of $575,000per year. The Executive’s base salary shall be subject to periodic review by the Board or the Compensation Committee of the Board (the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base salary in effect at any given time is referred to herein as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5" w:name="page176"/>
    <w:bookmarkEnd w:id="175"/>
    <w:p>
      <w:pPr>
        <w:jc w:val="both"/>
        <w:ind w:firstLine="517"/>
        <w:spacing w:after="0" w:line="228" w:lineRule="auto"/>
        <w:tabs>
          <w:tab w:leader="none" w:pos="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Executive’s initial target annual incentive compensation shall be 45% of the Executive’s Base Salary. The target annual incentive compensation in effect at any given time is referred to herein as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The actual amount of the Executive’s annual incentive compensation, if any, shall be determined in the sole discretion of the Board or the Compensation Committee. Any annual incentive compensation will be paid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following the calendar year to which such bonus relates. Except as otherwise provided herein or as may be provided by the Board or the Compensation Committee, the Executive must be employed by the Company on the date such incentive compensation is paid in order to earn or receive any annual incentive compensation.</w:t>
      </w:r>
    </w:p>
    <w:p>
      <w:pPr>
        <w:spacing w:after="0" w:line="182" w:lineRule="exact"/>
        <w:rPr>
          <w:rFonts w:ascii="Times New Roman" w:cs="Times New Roman" w:eastAsia="Times New Roman" w:hAnsi="Times New Roman"/>
          <w:sz w:val="22"/>
          <w:szCs w:val="22"/>
          <w:color w:val="auto"/>
        </w:rPr>
      </w:pPr>
    </w:p>
    <w:p>
      <w:pPr>
        <w:ind w:left="940" w:hanging="423"/>
        <w:spacing w:after="0"/>
        <w:tabs>
          <w:tab w:leader="none" w:pos="9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The Executive shall be eligible to receive a sign-on bonus in the total amount of $273,000.00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Sign-on Bonus</w:t>
      </w:r>
      <w:r>
        <w:rPr>
          <w:rFonts w:ascii="Times New Roman" w:cs="Times New Roman" w:eastAsia="Times New Roman" w:hAnsi="Times New Roman"/>
          <w:sz w:val="20"/>
          <w:szCs w:val="20"/>
          <w:color w:val="auto"/>
        </w:rPr>
        <w:t>”). The first part of the Sign-on Bonus, an amount equal to $173,000.00, shall be paid to the Executive within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30 calendar days after the Effective Date. The second part of the Sign-on Bonus, an amount equal to $100,000.00, shall be</w:t>
      </w:r>
    </w:p>
    <w:p>
      <w:pPr>
        <w:spacing w:after="0" w:line="230" w:lineRule="auto"/>
        <w:rPr>
          <w:sz w:val="20"/>
          <w:szCs w:val="20"/>
          <w:color w:val="auto"/>
        </w:rPr>
      </w:pPr>
      <w:r>
        <w:rPr>
          <w:rFonts w:ascii="Times New Roman" w:cs="Times New Roman" w:eastAsia="Times New Roman" w:hAnsi="Times New Roman"/>
          <w:sz w:val="22"/>
          <w:szCs w:val="22"/>
          <w:color w:val="auto"/>
        </w:rPr>
        <w:t>paid to the Executive within thirty (30) calendar days following the occurrence of the Boston Residence Purchase (as defined</w:t>
      </w:r>
    </w:p>
    <w:p>
      <w:pPr>
        <w:spacing w:after="0"/>
        <w:rPr>
          <w:sz w:val="20"/>
          <w:szCs w:val="20"/>
          <w:color w:val="auto"/>
        </w:rPr>
      </w:pPr>
      <w:r>
        <w:rPr>
          <w:rFonts w:ascii="Times New Roman" w:cs="Times New Roman" w:eastAsia="Times New Roman" w:hAnsi="Times New Roman"/>
          <w:sz w:val="20"/>
          <w:szCs w:val="20"/>
          <w:color w:val="auto"/>
        </w:rPr>
        <w:t xml:space="preserve">below);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Boston Residence Purchase must occur prior to the 18-month anniversary of the Effective Date in order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Executive to earn or receive the second part of the Sign-on Bonus. All Sign-on Bonus payments made to the Executive</w:t>
      </w:r>
    </w:p>
    <w:p>
      <w:pPr>
        <w:spacing w:after="0" w:line="230" w:lineRule="auto"/>
        <w:rPr>
          <w:sz w:val="20"/>
          <w:szCs w:val="20"/>
          <w:color w:val="auto"/>
        </w:rPr>
      </w:pPr>
      <w:r>
        <w:rPr>
          <w:rFonts w:ascii="Times New Roman" w:cs="Times New Roman" w:eastAsia="Times New Roman" w:hAnsi="Times New Roman"/>
          <w:sz w:val="22"/>
          <w:szCs w:val="22"/>
          <w:color w:val="auto"/>
        </w:rPr>
        <w:t>pursuant to this Section 2(c) shall be treated as wages for withholding and employment tax purposes. Notwithstanding anything</w:t>
      </w:r>
    </w:p>
    <w:p>
      <w:pPr>
        <w:spacing w:after="0" w:line="230" w:lineRule="auto"/>
        <w:rPr>
          <w:sz w:val="20"/>
          <w:szCs w:val="20"/>
          <w:color w:val="auto"/>
        </w:rPr>
      </w:pPr>
      <w:r>
        <w:rPr>
          <w:rFonts w:ascii="Times New Roman" w:cs="Times New Roman" w:eastAsia="Times New Roman" w:hAnsi="Times New Roman"/>
          <w:sz w:val="22"/>
          <w:szCs w:val="22"/>
          <w:color w:val="auto"/>
        </w:rPr>
        <w:t>to the contrary herein contained, if the Executive resigns without Good Reason or is terminated by the Company for Cause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terms are defined below), in any such case prior to the one (1) year anniversary of the Effective Date, the Executive agrees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repay any Sign-On Bonus payments made to the Executive during such one (1) year period on an after-tax basis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to the Company within 30 calendar days following the Date of Termination (as defined below) and the</w:t>
      </w:r>
    </w:p>
    <w:p>
      <w:pPr>
        <w:spacing w:after="0" w:line="230" w:lineRule="auto"/>
        <w:rPr>
          <w:sz w:val="20"/>
          <w:szCs w:val="20"/>
          <w:color w:val="auto"/>
        </w:rPr>
      </w:pPr>
      <w:r>
        <w:rPr>
          <w:rFonts w:ascii="Times New Roman" w:cs="Times New Roman" w:eastAsia="Times New Roman" w:hAnsi="Times New Roman"/>
          <w:sz w:val="22"/>
          <w:szCs w:val="22"/>
          <w:color w:val="auto"/>
        </w:rPr>
        <w:t>Executive agrees that the Company may, to the extent legally permitted, offset the Repayment Amount from any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the Company owes the Executive upon written notice to the Executive.</w:t>
      </w:r>
    </w:p>
    <w:p>
      <w:pPr>
        <w:spacing w:after="0" w:line="181" w:lineRule="exact"/>
        <w:rPr>
          <w:sz w:val="20"/>
          <w:szCs w:val="20"/>
          <w:color w:val="auto"/>
        </w:rPr>
      </w:pPr>
    </w:p>
    <w:p>
      <w:pPr>
        <w:ind w:right="20" w:firstLine="517"/>
        <w:spacing w:after="0" w:line="234" w:lineRule="auto"/>
        <w:tabs>
          <w:tab w:leader="none" w:pos="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Executive shall be entitled to receive prompt reimbursement for all reasonable expenses incurred by the Executive during the Term in performing services hereunder, in accordance with the policies and procedures then in effect and established by the Company for its executive officers. For the avoidance of doubt, subject to such policies and procedures, and in accordance with the Company’s Travel and Expense Policy, the Company shall reimburse the Executive for all reasonable travel-related expenses (including, without limitation, airfare, lodging and meals) in connection with the Executive’s travel to and from the Executive’s primary residence in San Rafael , California to the Company’s headquarters, currently located in Cambridge, Massachusetts;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Executive purchases a primary or secondary residence in the greater-Boston, Massachusetts area (the “</w:t>
      </w:r>
      <w:r>
        <w:rPr>
          <w:rFonts w:ascii="Times New Roman" w:cs="Times New Roman" w:eastAsia="Times New Roman" w:hAnsi="Times New Roman"/>
          <w:sz w:val="22"/>
          <w:szCs w:val="22"/>
          <w:u w:val="single" w:color="auto"/>
          <w:color w:val="auto"/>
        </w:rPr>
        <w:t>Boston Residence Purchase</w:t>
      </w:r>
      <w:r>
        <w:rPr>
          <w:rFonts w:ascii="Times New Roman" w:cs="Times New Roman" w:eastAsia="Times New Roman" w:hAnsi="Times New Roman"/>
          <w:sz w:val="22"/>
          <w:szCs w:val="22"/>
          <w:color w:val="auto"/>
        </w:rPr>
        <w:t>”) then, following Executive’s occupation of the Boston Residence, which shall take place no later than 90 days following the Boston Residence Purchase, the Executive shall not be entitled to receive reimbursement for the Executive’s lodging and meals in connection with such travel.</w:t>
      </w:r>
    </w:p>
    <w:p>
      <w:pPr>
        <w:spacing w:after="0" w:line="176" w:lineRule="exact"/>
        <w:rPr>
          <w:rFonts w:ascii="Times New Roman" w:cs="Times New Roman" w:eastAsia="Times New Roman" w:hAnsi="Times New Roman"/>
          <w:sz w:val="22"/>
          <w:szCs w:val="22"/>
          <w:color w:val="auto"/>
        </w:rPr>
      </w:pPr>
    </w:p>
    <w:p>
      <w:pPr>
        <w:ind w:right="20" w:firstLine="517"/>
        <w:spacing w:after="0" w:line="258" w:lineRule="auto"/>
        <w:tabs>
          <w:tab w:leader="none" w:pos="146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6" w:name="page177"/>
    <w:bookmarkEnd w:id="176"/>
    <w:p>
      <w:pPr>
        <w:ind w:right="60" w:firstLine="517"/>
        <w:spacing w:after="0" w:line="258" w:lineRule="auto"/>
        <w:tabs>
          <w:tab w:leader="none" w:pos="137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7" w:lineRule="exact"/>
        <w:rPr>
          <w:rFonts w:ascii="Times New Roman" w:cs="Times New Roman" w:eastAsia="Times New Roman" w:hAnsi="Times New Roman"/>
          <w:sz w:val="22"/>
          <w:szCs w:val="22"/>
          <w:color w:val="auto"/>
        </w:rPr>
      </w:pPr>
    </w:p>
    <w:p>
      <w:pPr>
        <w:jc w:val="both"/>
        <w:ind w:firstLine="517"/>
        <w:spacing w:after="0" w:line="256" w:lineRule="auto"/>
        <w:tabs>
          <w:tab w:leader="none" w:pos="94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Grant</w:t>
      </w:r>
      <w:r>
        <w:rPr>
          <w:rFonts w:ascii="Times New Roman" w:cs="Times New Roman" w:eastAsia="Times New Roman" w:hAnsi="Times New Roman"/>
          <w:sz w:val="20"/>
          <w:szCs w:val="20"/>
          <w:color w:val="auto"/>
        </w:rPr>
        <w:t>. As a material inducement to the Executive entering into this Agreement and becoming an employee of the Company, subject to the approval of the Board or Compensation Committee, the Executive will be granted an option to purchase up to 162,500 shares of the Company’s common stock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and 58,333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subject to the terms and conditions applicable to option awards and RSUs granted under the Company’s 2023 Inducement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xml:space="preserve">”), as described in the Plan and the applicable award agreement(s) (together, with the Plan, the “Equity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which the Executive will be required to sign. The Option and RSUs shall be granted as inducement grants consistent with the requirements of NASDAQ Stock Market Rule 5635(c)(4). In accordance with the Plan, the Option is not intended to be an “incentive stock option” under Section 422 of the Internal Revenue Code of 1986, as amended. The Option shall have a ten (10) year term and vest as follows: 25% of the shares subject to the Option will vest and become exercisable upon the one (1) year anniversary of the first day of the calendar month immediately following the Effective Date and the remaining 75% of the shares subject to the Executive’s Option will vest thereafter in 36 equal monthly installments, in each case, subject to the Executive’s continued Service Relationship (as defined in the Plan)with the Company through each such vesting date. The exercise price per share of the Option will be equal to at least the fair market value per share of the Company’s common stock on the date the Option is granted, which shall be the Effective Date. The RSUs will vest in four equal annual installments upon the one (1), two</w:t>
      </w:r>
    </w:p>
    <w:p>
      <w:pPr>
        <w:spacing w:after="0" w:line="232" w:lineRule="exact"/>
        <w:rPr>
          <w:rFonts w:ascii="Times New Roman" w:cs="Times New Roman" w:eastAsia="Times New Roman" w:hAnsi="Times New Roman"/>
          <w:sz w:val="20"/>
          <w:szCs w:val="20"/>
          <w:color w:val="auto"/>
        </w:rPr>
      </w:pPr>
    </w:p>
    <w:p>
      <w:pPr>
        <w:jc w:val="both"/>
        <w:spacing w:after="0" w:line="23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(2), three (3) and four (4) year anniversaries of the first day of the calendar month following the Effective Date, in each case, subject to the Executive’s continued Service Relationship with the Company through each such vesting date. The Equity Documents shall contain all of the foregoing terms.</w:t>
      </w:r>
    </w:p>
    <w:p>
      <w:pPr>
        <w:spacing w:after="0" w:line="177" w:lineRule="exact"/>
        <w:rPr>
          <w:sz w:val="20"/>
          <w:szCs w:val="20"/>
          <w:color w:val="auto"/>
        </w:rPr>
      </w:pPr>
    </w:p>
    <w:p>
      <w:pPr>
        <w:ind w:right="20" w:firstLine="1056"/>
        <w:spacing w:after="0" w:line="258" w:lineRule="auto"/>
        <w:tabs>
          <w:tab w:leader="none" w:pos="163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under the following circumstances:</w:t>
      </w:r>
    </w:p>
    <w:p>
      <w:pPr>
        <w:spacing w:after="0" w:line="157" w:lineRule="exact"/>
        <w:rPr>
          <w:sz w:val="20"/>
          <w:szCs w:val="20"/>
          <w:color w:val="auto"/>
        </w:rPr>
      </w:pPr>
    </w:p>
    <w:p>
      <w:pPr>
        <w:ind w:left="1600" w:hanging="544"/>
        <w:spacing w:after="0"/>
        <w:tabs>
          <w:tab w:leader="none" w:pos="1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death.</w:t>
      </w:r>
    </w:p>
    <w:p>
      <w:pPr>
        <w:spacing w:after="0" w:line="205" w:lineRule="exact"/>
        <w:rPr>
          <w:rFonts w:ascii="Times New Roman" w:cs="Times New Roman" w:eastAsia="Times New Roman" w:hAnsi="Times New Roman"/>
          <w:sz w:val="22"/>
          <w:szCs w:val="22"/>
          <w:color w:val="auto"/>
        </w:rPr>
      </w:pPr>
    </w:p>
    <w:p>
      <w:pPr>
        <w:ind w:right="20" w:firstLine="1056"/>
        <w:spacing w:after="0" w:line="233" w:lineRule="auto"/>
        <w:tabs>
          <w:tab w:leader="none" w:pos="158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the Americans with Disabilities Act,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77" w:name="page178"/>
    <w:bookmarkEnd w:id="177"/>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U.S.C. §12101 </w:t>
      </w:r>
      <w:r>
        <w:rPr>
          <w:rFonts w:ascii="Times New Roman" w:cs="Times New Roman" w:eastAsia="Times New Roman" w:hAnsi="Times New Roman"/>
          <w:sz w:val="22"/>
          <w:szCs w:val="22"/>
          <w:i w:val="1"/>
          <w:iCs w:val="1"/>
          <w:color w:val="auto"/>
        </w:rPr>
        <w:t>et seq.</w:t>
      </w:r>
    </w:p>
    <w:p>
      <w:pPr>
        <w:spacing w:after="0" w:line="209" w:lineRule="exact"/>
        <w:rPr>
          <w:sz w:val="20"/>
          <w:szCs w:val="20"/>
          <w:color w:val="auto"/>
        </w:rPr>
      </w:pPr>
    </w:p>
    <w:p>
      <w:pPr>
        <w:ind w:right="620" w:firstLine="1206"/>
        <w:spacing w:after="0" w:line="258" w:lineRule="auto"/>
        <w:tabs>
          <w:tab w:leader="none" w:pos="20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the Executive’s employment hereunder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7" w:lineRule="exact"/>
        <w:rPr>
          <w:rFonts w:ascii="Times New Roman" w:cs="Times New Roman" w:eastAsia="Times New Roman" w:hAnsi="Times New Roman"/>
          <w:sz w:val="22"/>
          <w:szCs w:val="22"/>
          <w:color w:val="auto"/>
        </w:rPr>
      </w:pPr>
    </w:p>
    <w:p>
      <w:pPr>
        <w:ind w:right="20" w:firstLine="2629"/>
        <w:spacing w:after="0" w:line="237" w:lineRule="auto"/>
        <w:tabs>
          <w:tab w:leader="none" w:pos="34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conduct by the Executive constituting a material act of misconduct in connection with the performance of the Executive’s duties, including, without limitation, (A) willful failure or refusal to perform material responsibilities that have been requested by the CEO; (B) dishonesty to the CEO with respect to any material matter; or (C) misappropriation of funds or property of the Company or any of its subsidiaries or affiliates other than the occasional, customary and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use of Company property for personal purposes;</w:t>
      </w:r>
    </w:p>
    <w:p>
      <w:pPr>
        <w:spacing w:after="0" w:line="72" w:lineRule="exact"/>
        <w:rPr>
          <w:rFonts w:ascii="Times New Roman" w:cs="Times New Roman" w:eastAsia="Times New Roman" w:hAnsi="Times New Roman"/>
          <w:sz w:val="22"/>
          <w:szCs w:val="22"/>
          <w:color w:val="auto"/>
        </w:rPr>
      </w:pPr>
    </w:p>
    <w:p>
      <w:pPr>
        <w:ind w:right="100" w:firstLine="2629"/>
        <w:spacing w:after="0" w:line="258" w:lineRule="auto"/>
        <w:tabs>
          <w:tab w:leader="none" w:pos="34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by the Executive of acts satisfying the elements of (A) any felony or (B) a misdemeanor involving moral turpitude, deceit, dishonesty or fraud;</w:t>
      </w:r>
    </w:p>
    <w:p>
      <w:pPr>
        <w:spacing w:after="0" w:line="49" w:lineRule="exact"/>
        <w:rPr>
          <w:rFonts w:ascii="Times New Roman" w:cs="Times New Roman" w:eastAsia="Times New Roman" w:hAnsi="Times New Roman"/>
          <w:sz w:val="22"/>
          <w:szCs w:val="22"/>
          <w:color w:val="auto"/>
        </w:rPr>
      </w:pPr>
    </w:p>
    <w:p>
      <w:pPr>
        <w:jc w:val="both"/>
        <w:ind w:right="20" w:firstLine="2629"/>
        <w:spacing w:after="0" w:line="244" w:lineRule="auto"/>
        <w:tabs>
          <w:tab w:leader="none" w:pos="34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misconduct by the Executive, regardless of whether or not in the course of the Executive’s employment, that would reasonably be expected to result in material injury or reputational harm to the Company or any of its subsidiaries or affiliates if the Executive were to continue to be employed in the same position;</w:t>
      </w:r>
    </w:p>
    <w:p>
      <w:pPr>
        <w:spacing w:after="0" w:line="64" w:lineRule="exact"/>
        <w:rPr>
          <w:rFonts w:ascii="Times New Roman" w:cs="Times New Roman" w:eastAsia="Times New Roman" w:hAnsi="Times New Roman"/>
          <w:sz w:val="22"/>
          <w:szCs w:val="22"/>
          <w:color w:val="auto"/>
        </w:rPr>
      </w:pPr>
    </w:p>
    <w:p>
      <w:pPr>
        <w:ind w:firstLine="2629"/>
        <w:spacing w:after="0" w:line="239" w:lineRule="auto"/>
        <w:tabs>
          <w:tab w:leader="none" w:pos="34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unsatisfactory performance or non-performance by the Executive of the Executive’s duties hereunder (other than by reason of the Executive’s physical or mental illness, incapacity or disability) which has continued for more than 30 days following written notice of such unsatisfactory performance or non-performance from the CEO;</w:t>
      </w:r>
    </w:p>
    <w:p>
      <w:pPr>
        <w:spacing w:after="0" w:line="71" w:lineRule="exact"/>
        <w:rPr>
          <w:rFonts w:ascii="Times New Roman" w:cs="Times New Roman" w:eastAsia="Times New Roman" w:hAnsi="Times New Roman"/>
          <w:sz w:val="22"/>
          <w:szCs w:val="22"/>
          <w:color w:val="auto"/>
        </w:rPr>
      </w:pPr>
    </w:p>
    <w:p>
      <w:pPr>
        <w:ind w:right="840" w:firstLine="2629"/>
        <w:spacing w:after="0" w:line="258" w:lineRule="auto"/>
        <w:tabs>
          <w:tab w:leader="none" w:pos="34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by the Executive of any of the provisions contained in Section 8 of this Agreement or the Restrictive Covenants Agreement;</w:t>
      </w:r>
    </w:p>
    <w:p>
      <w:pPr>
        <w:spacing w:after="0" w:line="157" w:lineRule="exact"/>
        <w:rPr>
          <w:rFonts w:ascii="Times New Roman" w:cs="Times New Roman" w:eastAsia="Times New Roman" w:hAnsi="Times New Roman"/>
          <w:sz w:val="22"/>
          <w:szCs w:val="22"/>
          <w:color w:val="auto"/>
        </w:rPr>
      </w:pPr>
    </w:p>
    <w:p>
      <w:pPr>
        <w:ind w:left="3500" w:hanging="871"/>
        <w:spacing w:after="0"/>
        <w:tabs>
          <w:tab w:leader="none" w:pos="35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violation by the Executive of any of the Company’s written employment</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policies; or</w:t>
      </w:r>
    </w:p>
    <w:p>
      <w:pPr>
        <w:spacing w:after="0" w:line="181" w:lineRule="exact"/>
        <w:rPr>
          <w:rFonts w:ascii="Times New Roman" w:cs="Times New Roman" w:eastAsia="Times New Roman" w:hAnsi="Times New Roman"/>
          <w:sz w:val="22"/>
          <w:szCs w:val="22"/>
          <w:color w:val="auto"/>
        </w:rPr>
      </w:pPr>
    </w:p>
    <w:p>
      <w:pPr>
        <w:ind w:right="140" w:firstLine="2629"/>
        <w:spacing w:after="0" w:line="239" w:lineRule="auto"/>
        <w:tabs>
          <w:tab w:leader="none" w:pos="305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8" w:lineRule="exact"/>
        <w:rPr>
          <w:rFonts w:ascii="Times New Roman" w:cs="Times New Roman" w:eastAsia="Times New Roman" w:hAnsi="Times New Roman"/>
          <w:sz w:val="22"/>
          <w:szCs w:val="22"/>
          <w:color w:val="auto"/>
        </w:rPr>
      </w:pPr>
    </w:p>
    <w:p>
      <w:pPr>
        <w:ind w:right="200" w:firstLine="1206"/>
        <w:spacing w:after="0" w:line="239" w:lineRule="auto"/>
        <w:tabs>
          <w:tab w:leader="none" w:pos="20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8" w:lineRule="exact"/>
        <w:rPr>
          <w:rFonts w:ascii="Times New Roman" w:cs="Times New Roman" w:eastAsia="Times New Roman" w:hAnsi="Times New Roman"/>
          <w:sz w:val="22"/>
          <w:szCs w:val="22"/>
          <w:color w:val="auto"/>
        </w:rPr>
      </w:pPr>
    </w:p>
    <w:p>
      <w:pPr>
        <w:ind w:right="20" w:firstLine="1206"/>
        <w:spacing w:after="0" w:line="239" w:lineRule="auto"/>
        <w:tabs>
          <w:tab w:leader="none" w:pos="20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that the Executive has completed all steps of the Good Reason Process (hereinafter defined) following the occurrence of any of the following events without the Executive’s written consent (each, a “</w:t>
      </w:r>
      <w:r>
        <w:rPr>
          <w:rFonts w:ascii="Times New Roman" w:cs="Times New Roman" w:eastAsia="Times New Roman" w:hAnsi="Times New Roman"/>
          <w:sz w:val="22"/>
          <w:szCs w:val="22"/>
          <w:u w:val="single" w:color="auto"/>
          <w:color w:val="auto"/>
        </w:rPr>
        <w:t>Good Reason Condition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ind w:left="1200"/>
        <w:spacing w:after="0"/>
        <w:rPr>
          <w:sz w:val="20"/>
          <w:szCs w:val="20"/>
          <w:color w:val="auto"/>
        </w:rPr>
      </w:pPr>
      <w:r>
        <w:rPr>
          <w:rFonts w:ascii="Times New Roman" w:cs="Times New Roman" w:eastAsia="Times New Roman" w:hAnsi="Times New Roman"/>
          <w:sz w:val="22"/>
          <w:szCs w:val="22"/>
          <w:color w:val="auto"/>
        </w:rPr>
        <w:t>or duties; a material diminution in the Executive’s responsibilities, authority</w:t>
      </w:r>
    </w:p>
    <w:p>
      <w:pPr>
        <w:spacing w:after="0" w:line="205" w:lineRule="exact"/>
        <w:rPr>
          <w:sz w:val="20"/>
          <w:szCs w:val="20"/>
          <w:color w:val="auto"/>
        </w:rPr>
      </w:pPr>
    </w:p>
    <w:p>
      <w:pPr>
        <w:jc w:val="both"/>
        <w:ind w:left="1200" w:right="280" w:hanging="443"/>
        <w:spacing w:after="0" w:line="244" w:lineRule="auto"/>
        <w:tabs>
          <w:tab w:leader="none" w:pos="13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Base Salary except for across-the-board salary reductions based on the Company’s financial performance similarly affecting all or substantially all senior management employees of the Company;</w:t>
      </w:r>
    </w:p>
    <w:p>
      <w:pPr>
        <w:spacing w:after="0" w:line="172" w:lineRule="exact"/>
        <w:rPr>
          <w:rFonts w:ascii="Times New Roman" w:cs="Times New Roman" w:eastAsia="Times New Roman" w:hAnsi="Times New Roman"/>
          <w:sz w:val="22"/>
          <w:szCs w:val="22"/>
          <w:color w:val="auto"/>
        </w:rPr>
      </w:pPr>
    </w:p>
    <w:p>
      <w:pPr>
        <w:jc w:val="both"/>
        <w:ind w:left="1200" w:right="120" w:firstLine="737"/>
        <w:spacing w:after="0" w:line="244" w:lineRule="auto"/>
        <w:tabs>
          <w:tab w:leader="none" w:pos="279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of the principal office of the Company to which the Executive is assigned, such that there is an increase of at least thirty (30) miles of driving distance to such location from the Executive’s principal residence as of such change; or</w:t>
      </w:r>
    </w:p>
    <w:p>
      <w:pPr>
        <w:spacing w:after="0" w:line="172" w:lineRule="exact"/>
        <w:rPr>
          <w:rFonts w:ascii="Times New Roman" w:cs="Times New Roman" w:eastAsia="Times New Roman" w:hAnsi="Times New Roman"/>
          <w:sz w:val="22"/>
          <w:szCs w:val="22"/>
          <w:color w:val="auto"/>
        </w:rPr>
      </w:pPr>
    </w:p>
    <w:p>
      <w:pPr>
        <w:ind w:left="1200" w:right="40" w:firstLine="1168"/>
        <w:spacing w:after="0" w:line="244" w:lineRule="auto"/>
        <w:tabs>
          <w:tab w:leader="none" w:pos="2848"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a failure to grant the Option and RSUs set forth in Section 2(g) on the terms set forth in that section) or any other material written agreements between Executive and the Company.</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98" w:lineRule="exact"/>
        <w:rPr>
          <w:sz w:val="20"/>
          <w:szCs w:val="20"/>
          <w:color w:val="auto"/>
        </w:rPr>
      </w:pPr>
    </w:p>
    <w:p>
      <w:pPr>
        <w:ind w:left="2040" w:hanging="505"/>
        <w:spacing w:after="0"/>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reasonably determines in good faith that a Good Reason Condition has occurred;</w:t>
      </w:r>
    </w:p>
    <w:p>
      <w:pPr>
        <w:spacing w:after="0" w:line="97" w:lineRule="exact"/>
        <w:rPr>
          <w:rFonts w:ascii="Times New Roman" w:cs="Times New Roman" w:eastAsia="Times New Roman" w:hAnsi="Times New Roman"/>
          <w:sz w:val="22"/>
          <w:szCs w:val="22"/>
          <w:color w:val="auto"/>
        </w:rPr>
      </w:pPr>
    </w:p>
    <w:p>
      <w:pPr>
        <w:ind w:left="2040" w:right="560" w:hanging="505"/>
        <w:spacing w:after="0" w:line="258" w:lineRule="auto"/>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notifies the Company in writing of the first occurrence of the Good Reason Condition within60 days of the first occurrence of such condition;</w:t>
      </w:r>
    </w:p>
    <w:p>
      <w:pPr>
        <w:spacing w:after="0" w:line="49" w:lineRule="exact"/>
        <w:rPr>
          <w:rFonts w:ascii="Times New Roman" w:cs="Times New Roman" w:eastAsia="Times New Roman" w:hAnsi="Times New Roman"/>
          <w:sz w:val="22"/>
          <w:szCs w:val="22"/>
          <w:color w:val="auto"/>
        </w:rPr>
      </w:pPr>
    </w:p>
    <w:p>
      <w:pPr>
        <w:ind w:left="2040" w:hanging="505"/>
        <w:spacing w:after="0" w:line="258" w:lineRule="auto"/>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cooperates in good faith with the Company’s efforts, for a period of not less than 30 days following such notice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to remedy the Good Reason Condition;</w:t>
      </w:r>
    </w:p>
    <w:p>
      <w:pPr>
        <w:spacing w:after="0" w:line="49" w:lineRule="exact"/>
        <w:rPr>
          <w:rFonts w:ascii="Times New Roman" w:cs="Times New Roman" w:eastAsia="Times New Roman" w:hAnsi="Times New Roman"/>
          <w:sz w:val="22"/>
          <w:szCs w:val="22"/>
          <w:color w:val="auto"/>
        </w:rPr>
      </w:pPr>
    </w:p>
    <w:p>
      <w:pPr>
        <w:ind w:left="2040" w:right="80" w:hanging="505"/>
        <w:spacing w:after="0" w:line="258" w:lineRule="auto"/>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at the end of the Cure Period; and</w:t>
      </w:r>
    </w:p>
    <w:p>
      <w:pPr>
        <w:spacing w:after="0" w:line="49" w:lineRule="exact"/>
        <w:rPr>
          <w:rFonts w:ascii="Times New Roman" w:cs="Times New Roman" w:eastAsia="Times New Roman" w:hAnsi="Times New Roman"/>
          <w:sz w:val="22"/>
          <w:szCs w:val="22"/>
          <w:color w:val="auto"/>
        </w:rPr>
      </w:pPr>
    </w:p>
    <w:p>
      <w:pPr>
        <w:ind w:left="2040" w:hanging="505"/>
        <w:spacing w:after="0"/>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terminates employment within 60 days after the end of the Cure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98" w:lineRule="exact"/>
        <w:rPr>
          <w:sz w:val="20"/>
          <w:szCs w:val="20"/>
          <w:color w:val="auto"/>
        </w:rPr>
      </w:pPr>
    </w:p>
    <w:p>
      <w:pPr>
        <w:ind w:left="1020" w:hanging="504"/>
        <w:spacing w:after="0"/>
        <w:tabs>
          <w:tab w:leader="none" w:pos="10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97" w:lineRule="exact"/>
        <w:rPr>
          <w:rFonts w:ascii="Times New Roman" w:cs="Times New Roman" w:eastAsia="Times New Roman" w:hAnsi="Times New Roman"/>
          <w:sz w:val="22"/>
          <w:szCs w:val="22"/>
          <w:color w:val="auto"/>
        </w:rPr>
      </w:pPr>
    </w:p>
    <w:p>
      <w:pPr>
        <w:ind w:left="1540" w:right="260" w:hanging="514"/>
        <w:spacing w:after="0" w:line="271" w:lineRule="auto"/>
        <w:tabs>
          <w:tab w:leader="none" w:pos="15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shall mean a notice which shall indicate the specific termination provision in this Agreement relied upon.</w:t>
      </w:r>
    </w:p>
    <w:p>
      <w:pPr>
        <w:spacing w:after="0" w:line="39" w:lineRule="exact"/>
        <w:rPr>
          <w:rFonts w:ascii="Times New Roman" w:cs="Times New Roman" w:eastAsia="Times New Roman" w:hAnsi="Times New Roman"/>
          <w:sz w:val="20"/>
          <w:szCs w:val="20"/>
          <w:color w:val="auto"/>
        </w:rPr>
      </w:pPr>
    </w:p>
    <w:p>
      <w:pPr>
        <w:ind w:left="1540" w:right="60" w:hanging="514"/>
        <w:spacing w:after="0" w:line="236" w:lineRule="auto"/>
        <w:tabs>
          <w:tab w:leader="none" w:pos="15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3(d),the date on which a Notice of Termination is given or the date otherwise specified by the Company (which shall not exceed 30 days from such Notice unless agreed upon in writing by Executive)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79" w:name="page180"/>
    <w:bookmarkEnd w:id="179"/>
    <w:p>
      <w:pPr>
        <w:ind w:left="1024" w:right="20"/>
        <w:spacing w:after="0" w:line="234" w:lineRule="auto"/>
        <w:rPr>
          <w:sz w:val="20"/>
          <w:szCs w:val="20"/>
          <w:color w:val="auto"/>
        </w:rPr>
      </w:pPr>
      <w:r>
        <w:rPr>
          <w:rFonts w:ascii="Times New Roman" w:cs="Times New Roman" w:eastAsia="Times New Roman" w:hAnsi="Times New Roman"/>
          <w:sz w:val="22"/>
          <w:szCs w:val="22"/>
          <w:color w:val="auto"/>
        </w:rPr>
        <w:t>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 (but shall result in an acknowledgement by the Company that such Termination is due to the reason set forth by Executive in the Notice of Termination)..</w:t>
      </w:r>
    </w:p>
    <w:p>
      <w:pPr>
        <w:spacing w:after="0" w:line="76" w:lineRule="exact"/>
        <w:rPr>
          <w:sz w:val="20"/>
          <w:szCs w:val="20"/>
          <w:color w:val="auto"/>
        </w:rPr>
      </w:pPr>
    </w:p>
    <w:p>
      <w:pPr>
        <w:ind w:left="1024" w:right="40" w:hanging="514"/>
        <w:spacing w:after="0" w:line="232" w:lineRule="auto"/>
        <w:tabs>
          <w:tab w:leader="none" w:pos="102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the Executive’s authorized representative or estate)(i) any Base Salary earned through the Date of Termination; (ii) unpaid expense reimbursements (subject to, and in accordance with, Section 2(d) of this Agreement); (iii) any vested benefits the Executive may have under any employee benefit plan of the Company through the Date of Termination, which vested benefits shall be paid and/or provided in accordance with the terms of such employee benefit plans and (iv) in the event the termination is not for Cause, and occurs following a full year of service by Executive, and the Incentive Compensation referred to in Section 2(b) has been determined, such Incentive Compensation, even if Executive is not employed by the Company on the day such Incentive Compensation is paid out.</w:t>
      </w:r>
    </w:p>
    <w:p>
      <w:pPr>
        <w:spacing w:after="0" w:line="7" w:lineRule="exact"/>
        <w:rPr>
          <w:rFonts w:ascii="Times New Roman" w:cs="Times New Roman" w:eastAsia="Times New Roman" w:hAnsi="Times New Roman"/>
          <w:sz w:val="22"/>
          <w:szCs w:val="22"/>
          <w:color w:val="auto"/>
        </w:rPr>
      </w:pPr>
    </w:p>
    <w:p>
      <w:pPr>
        <w:ind w:left="98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73" w:lineRule="exact"/>
        <w:rPr>
          <w:rFonts w:ascii="Times New Roman" w:cs="Times New Roman" w:eastAsia="Times New Roman" w:hAnsi="Times New Roman"/>
          <w:sz w:val="22"/>
          <w:szCs w:val="22"/>
          <w:color w:val="auto"/>
        </w:rPr>
      </w:pPr>
    </w:p>
    <w:p>
      <w:pPr>
        <w:ind w:left="1024" w:right="60" w:hanging="514"/>
        <w:spacing w:after="0" w:line="237" w:lineRule="auto"/>
        <w:tabs>
          <w:tab w:leader="none" w:pos="102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72" w:lineRule="exact"/>
        <w:rPr>
          <w:rFonts w:ascii="Times New Roman" w:cs="Times New Roman" w:eastAsia="Times New Roman" w:hAnsi="Times New Roman"/>
          <w:sz w:val="22"/>
          <w:szCs w:val="22"/>
          <w:color w:val="auto"/>
        </w:rPr>
      </w:pPr>
    </w:p>
    <w:p>
      <w:pPr>
        <w:ind w:left="504" w:hanging="504"/>
        <w:spacing w:after="0" w:line="233" w:lineRule="auto"/>
        <w:tabs>
          <w:tab w:leader="none" w:pos="50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22"/>
          <w:szCs w:val="22"/>
          <w:color w:val="auto"/>
        </w:rPr>
        <w:t>. If the Executive’s employment is terminated by the Company without Cause as provided in Section 3(d), or the Executive terminates employment for Good Reason as provided in Section 3(e), in each case outside of the Change in Control Period, then, in addition to the Accrued Obligations, and subject to (i) the Executive signing a separation agreement and release in a form and manner mutually agreeable to Executive and Company, which shall include, without limitation, a general release of claims against the Company and all related persons and entities that shall not release the Executive’s rights under this Agreement, a reaffirmation of all of the Executive’s Continuing Obligations (as defined below),and shall provide that if the Executive breaches any of the Continuing Obligations, all payments of the Severance Amount shall immediately cease (the “</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(ii) the Separation Agreement becoming irrevocable, all within 60 days after the Date of Termination (or such shorter period as set forth in the Separation Agreement), which shall include a seven (7) business day revocation period:</w:t>
      </w:r>
    </w:p>
    <w:p>
      <w:pPr>
        <w:spacing w:after="0" w:line="73" w:lineRule="exact"/>
        <w:rPr>
          <w:rFonts w:ascii="Times New Roman" w:cs="Times New Roman" w:eastAsia="Times New Roman" w:hAnsi="Times New Roman"/>
          <w:sz w:val="22"/>
          <w:szCs w:val="22"/>
          <w:color w:val="auto"/>
        </w:rPr>
      </w:pPr>
    </w:p>
    <w:p>
      <w:pPr>
        <w:ind w:left="1024" w:right="260" w:hanging="514"/>
        <w:spacing w:after="0" w:line="258" w:lineRule="auto"/>
        <w:tabs>
          <w:tab w:leader="none" w:pos="102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nine (9) months of the Executive’s Base Salary (the “</w:t>
      </w:r>
      <w:r>
        <w:rPr>
          <w:rFonts w:ascii="Times New Roman" w:cs="Times New Roman" w:eastAsia="Times New Roman" w:hAnsi="Times New Roman"/>
          <w:sz w:val="22"/>
          <w:szCs w:val="22"/>
          <w:u w:val="single" w:color="auto"/>
          <w:color w:val="auto"/>
        </w:rPr>
        <w:t>Severance Amount</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609600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124" w:right="359" w:bottom="1440" w:gutter="0" w:footer="0" w:header="0"/>
        </w:sectPr>
      </w:pPr>
    </w:p>
    <w:bookmarkStart w:id="180" w:name="page181"/>
    <w:bookmarkEnd w:id="180"/>
    <w:p>
      <w:pPr>
        <w:ind w:left="1024" w:right="60" w:hanging="514"/>
        <w:spacing w:after="0" w:line="233" w:lineRule="auto"/>
        <w:tabs>
          <w:tab w:leader="none" w:pos="102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(i) the nine (9) month anniversary of the Date of Termination; (ii) the date that the Executive becomes eligible for group medical plan benefits under any other employer’s group medical plan; or (iii) the cessation of the Executive’s health continuation rights under COBRA;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5" w:lineRule="exact"/>
        <w:rPr>
          <w:sz w:val="20"/>
          <w:szCs w:val="20"/>
          <w:color w:val="auto"/>
        </w:rPr>
      </w:pPr>
    </w:p>
    <w:p>
      <w:pPr>
        <w:ind w:left="984"/>
        <w:spacing w:after="0" w:line="234" w:lineRule="auto"/>
        <w:rPr>
          <w:sz w:val="20"/>
          <w:szCs w:val="20"/>
          <w:color w:val="auto"/>
        </w:rPr>
      </w:pPr>
      <w:r>
        <w:rPr>
          <w:rFonts w:ascii="Times New Roman" w:cs="Times New Roman" w:eastAsia="Times New Roman" w:hAnsi="Times New Roman"/>
          <w:sz w:val="22"/>
          <w:szCs w:val="22"/>
          <w:color w:val="auto"/>
        </w:rPr>
        <w:t xml:space="preserve">The amounts payable under Section5, to the extent taxable, shall be paid out in substantially equal installments in accordance with the Company’s payroll practice over nine (9) months commencing within60 days after the Date of 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60-day period begins in one calendar year and ends in a second calendar year, such payments, to the extent they qualify as “non-qualified deferred compensation” within the meaning of Section 409A of the Internal Revenue Code of 1986, as amended(the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shall begin to be paid in the second calendar year by the last day of such 60-dayperiod;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72" w:lineRule="exact"/>
        <w:rPr>
          <w:sz w:val="20"/>
          <w:szCs w:val="20"/>
          <w:color w:val="auto"/>
        </w:rPr>
      </w:pPr>
    </w:p>
    <w:p>
      <w:pPr>
        <w:jc w:val="both"/>
        <w:ind w:left="504" w:hanging="504"/>
        <w:spacing w:after="0" w:line="256" w:lineRule="auto"/>
        <w:tabs>
          <w:tab w:leader="none" w:pos="50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a Change in Control, except as otherwise explicitly set forth in the applicable equity award agreement, any stock options and other stock-based awards held by the Executive with conditions and restrictions relating to the attainment of performance goals (“</w:t>
      </w:r>
      <w:r>
        <w:rPr>
          <w:rFonts w:ascii="Times New Roman" w:cs="Times New Roman" w:eastAsia="Times New Roman" w:hAnsi="Times New Roman"/>
          <w:sz w:val="20"/>
          <w:szCs w:val="20"/>
          <w:u w:val="single" w:color="auto"/>
          <w:color w:val="auto"/>
        </w:rPr>
        <w:t>Performance-Based Equity Awards</w:t>
      </w:r>
      <w:r>
        <w:rPr>
          <w:rFonts w:ascii="Times New Roman" w:cs="Times New Roman" w:eastAsia="Times New Roman" w:hAnsi="Times New Roman"/>
          <w:sz w:val="20"/>
          <w:szCs w:val="20"/>
          <w:color w:val="auto"/>
        </w:rPr>
        <w:t>”), to the extent then outstanding and unearned, shall be deemed earned based on the greater of target or actual performance as measured through such Change in Control, and such Performance-Based Equity Awards that are deemed earned shall be subject to time-based vesting, based on Executive’s continued employment, for the remainder of the performance period and shall be subject to accelerated vesting upon a termination of Executive’s employment to the extent provided for in Section 7(a)</w:t>
      </w:r>
    </w:p>
    <w:p>
      <w:pPr>
        <w:spacing w:after="0" w:line="5" w:lineRule="exact"/>
        <w:rPr>
          <w:rFonts w:ascii="Times New Roman" w:cs="Times New Roman" w:eastAsia="Times New Roman" w:hAnsi="Times New Roman"/>
          <w:sz w:val="20"/>
          <w:szCs w:val="20"/>
          <w:color w:val="auto"/>
        </w:rPr>
      </w:pPr>
    </w:p>
    <w:p>
      <w:pPr>
        <w:ind w:left="504" w:firstLine="6"/>
        <w:spacing w:after="0" w:line="237" w:lineRule="auto"/>
        <w:tabs>
          <w:tab w:leader="none" w:pos="84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Any Performance- Based Equity Awards that are not deemed earned upon a Change in Control shall be forfeited for no consideration upon such Change in Control.</w:t>
      </w:r>
    </w:p>
    <w:p>
      <w:pPr>
        <w:spacing w:after="0" w:line="69" w:lineRule="exact"/>
        <w:rPr>
          <w:rFonts w:ascii="Times New Roman" w:cs="Times New Roman" w:eastAsia="Times New Roman" w:hAnsi="Times New Roman"/>
          <w:sz w:val="22"/>
          <w:szCs w:val="22"/>
          <w:color w:val="auto"/>
        </w:rPr>
      </w:pPr>
    </w:p>
    <w:p>
      <w:pPr>
        <w:jc w:val="both"/>
        <w:ind w:left="504" w:right="120" w:hanging="504"/>
        <w:spacing w:after="0" w:line="237" w:lineRule="auto"/>
        <w:tabs>
          <w:tab w:leader="none" w:pos="50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22"/>
          <w:szCs w:val="22"/>
          <w:color w:val="auto"/>
        </w:rPr>
        <w:t>. The provisions of this Section 7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on or within three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624205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12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months prior to or 12 months after the occurrence of an event constituting a Change in Control (such period, the</w:t>
      </w:r>
    </w:p>
    <w:p>
      <w:pPr>
        <w:spacing w:after="0" w:line="1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These provisions shall terminate and be of no further force or effect after the Change in Control Period.</w:t>
      </w:r>
    </w:p>
    <w:p>
      <w:pPr>
        <w:spacing w:after="0" w:line="70" w:lineRule="exact"/>
        <w:rPr>
          <w:sz w:val="20"/>
          <w:szCs w:val="20"/>
          <w:color w:val="auto"/>
        </w:rPr>
      </w:pPr>
    </w:p>
    <w:p>
      <w:pPr>
        <w:ind w:left="520" w:hanging="514"/>
        <w:spacing w:after="0" w:line="235" w:lineRule="auto"/>
        <w:tabs>
          <w:tab w:leader="none" w:pos="5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a general release of claims against the Company and all related persons and entities that shall not release the Executive’s rights under this Agreement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by the Executive and the Release becoming fully effective, all within the time frame set forth in the Release but in no event more than 60 days after the Date of Termination:</w:t>
      </w:r>
    </w:p>
    <w:p>
      <w:pPr>
        <w:spacing w:after="0" w:line="72" w:lineRule="exact"/>
        <w:rPr>
          <w:rFonts w:ascii="Times New Roman" w:cs="Times New Roman" w:eastAsia="Times New Roman" w:hAnsi="Times New Roman"/>
          <w:sz w:val="22"/>
          <w:szCs w:val="22"/>
          <w:color w:val="auto"/>
        </w:rPr>
      </w:pPr>
    </w:p>
    <w:p>
      <w:pPr>
        <w:ind w:left="1020" w:right="20" w:hanging="505"/>
        <w:spacing w:after="0" w:line="237" w:lineRule="auto"/>
        <w:tabs>
          <w:tab w:leader="none" w:pos="102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in cash in an amount equal to 1.0 times the sum of (A) the Executive’s then-current Base Salary (or the Executive’s Base Salary in effect immediately prior to the Change in Control, if higher) plus (B) the Executive’s Target Bonus for the then-current year (or the Executive’s Target Bonus in effect immediately prior to the Change in Control, if higher) (the “</w:t>
      </w:r>
      <w:r>
        <w:rPr>
          <w:rFonts w:ascii="Times New Roman" w:cs="Times New Roman" w:eastAsia="Times New Roman" w:hAnsi="Times New Roman"/>
          <w:sz w:val="22"/>
          <w:szCs w:val="22"/>
          <w:u w:val="single" w:color="auto"/>
          <w:color w:val="auto"/>
        </w:rPr>
        <w:t>Change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Control Payment</w:t>
      </w:r>
      <w:r>
        <w:rPr>
          <w:rFonts w:ascii="Times New Roman" w:cs="Times New Roman" w:eastAsia="Times New Roman" w:hAnsi="Times New Roman"/>
          <w:sz w:val="22"/>
          <w:szCs w:val="22"/>
          <w:color w:val="auto"/>
        </w:rPr>
        <w:t>”); and</w:t>
      </w:r>
    </w:p>
    <w:p>
      <w:pPr>
        <w:spacing w:after="0" w:line="72" w:lineRule="exact"/>
        <w:rPr>
          <w:rFonts w:ascii="Times New Roman" w:cs="Times New Roman" w:eastAsia="Times New Roman" w:hAnsi="Times New Roman"/>
          <w:sz w:val="22"/>
          <w:szCs w:val="22"/>
          <w:color w:val="auto"/>
        </w:rPr>
      </w:pPr>
    </w:p>
    <w:p>
      <w:pPr>
        <w:ind w:left="1020" w:hanging="505"/>
        <w:spacing w:after="0" w:line="257" w:lineRule="auto"/>
        <w:tabs>
          <w:tab w:leader="none" w:pos="102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applicable option agreement or other stock-based award agreement, all [stock options and other stock-based awards held by the Executive that are subject solely to time-based vesting “</w:t>
      </w:r>
      <w:r>
        <w:rPr>
          <w:rFonts w:ascii="Times New Roman" w:cs="Times New Roman" w:eastAsia="Times New Roman" w:hAnsi="Times New Roman"/>
          <w:sz w:val="20"/>
          <w:szCs w:val="20"/>
          <w:u w:val="single" w:color="auto"/>
          <w:color w:val="auto"/>
        </w:rPr>
        <w:t>Time-Based Equity Awards</w:t>
      </w:r>
      <w:r>
        <w:rPr>
          <w:rFonts w:ascii="Times New Roman" w:cs="Times New Roman" w:eastAsia="Times New Roman" w:hAnsi="Times New Roman"/>
          <w:sz w:val="20"/>
          <w:szCs w:val="20"/>
          <w:color w:val="auto"/>
        </w:rPr>
        <w:t>” and any Performance-Based Equity Awards that are then outstanding and eligible to vest based on Executive’s continued employment as provided for under Section 6 above shall immediately accelerate and become fully vested and exercisable or nonforfeitable as of the later of (i) the Date of Termination or (ii) the effective date of the Release (the “</w:t>
      </w: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order to effectuate the accelerated vesting contemplated by this subsection, the unvested portion of the Executive’s Time-Based Equity Awards and Performance-Based Equity Awards that would otherwise be forfeited on the Date of Termination will be delayed until the earlier of (A) the effective date of the Release (at which time acceleration will occur), or (B) the date that the Release can no longer become fully effective (at which time the unvested portion of the Executive’s Time-Based Equity Awards and Performance-Based Equity Awards will be forfeited). Notwithstanding the foregoing, no additional time-based vesting of the Time-Based Equity Awards or Performance-Based Equity Awards shall occur during the period between the Date of Termination and the Accelerated Vesting Date; and</w:t>
      </w:r>
    </w:p>
    <w:p>
      <w:pPr>
        <w:spacing w:after="0" w:line="58" w:lineRule="exact"/>
        <w:rPr>
          <w:rFonts w:ascii="Times New Roman" w:cs="Times New Roman" w:eastAsia="Times New Roman" w:hAnsi="Times New Roman"/>
          <w:sz w:val="20"/>
          <w:szCs w:val="20"/>
          <w:color w:val="auto"/>
        </w:rPr>
      </w:pPr>
    </w:p>
    <w:p>
      <w:pPr>
        <w:ind w:left="1020" w:right="120" w:hanging="505"/>
        <w:spacing w:after="0" w:line="234" w:lineRule="auto"/>
        <w:tabs>
          <w:tab w:leader="none" w:pos="102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12 month anniversary of the Date of Termination; (B) the date that the Executive becomes eligible for group medical plan benefits under any other employer’s group medical plan; or (C) the cessation of the Executive’s health continuation rights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626745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124" w:right="339" w:bottom="1440" w:gutter="0" w:footer="0" w:header="0"/>
        </w:sectPr>
      </w:pPr>
    </w:p>
    <w:bookmarkStart w:id="182" w:name="page183"/>
    <w:bookmarkEnd w:id="182"/>
    <w:p>
      <w:pPr>
        <w:ind w:left="2040" w:right="160"/>
        <w:spacing w:after="0" w:line="237" w:lineRule="auto"/>
        <w:rPr>
          <w:sz w:val="20"/>
          <w:szCs w:val="20"/>
          <w:color w:val="auto"/>
        </w:rPr>
      </w:pP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Company determines that it cannot pay such amounts to the group health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 xml:space="preserve">The amounts payable under this Section 7(a), to the extent taxable, shall be paid or commence to be paid within 60 days after the Date of 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60-day period begins in one calendar year and ends in a second calendar year, such payments to the extent they qualify as “non-qualified deferred compensation” within the meaning of Section 409A of the U.S.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60-day period.</w:t>
      </w:r>
    </w:p>
    <w:p>
      <w:pPr>
        <w:spacing w:after="0" w:line="72" w:lineRule="exact"/>
        <w:rPr>
          <w:sz w:val="20"/>
          <w:szCs w:val="20"/>
          <w:color w:val="auto"/>
        </w:rPr>
      </w:pPr>
    </w:p>
    <w:p>
      <w:pPr>
        <w:ind w:left="1540" w:hanging="514"/>
        <w:spacing w:after="0"/>
        <w:tabs>
          <w:tab w:leader="none" w:pos="15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Limitation</w:t>
      </w:r>
      <w:r>
        <w:rPr>
          <w:rFonts w:ascii="Times New Roman" w:cs="Times New Roman" w:eastAsia="Times New Roman" w:hAnsi="Times New Roman"/>
          <w:sz w:val="22"/>
          <w:szCs w:val="22"/>
          <w:color w:val="auto"/>
        </w:rPr>
        <w:t>.</w:t>
      </w:r>
    </w:p>
    <w:p>
      <w:pPr>
        <w:spacing w:after="0" w:line="97" w:lineRule="exact"/>
        <w:rPr>
          <w:rFonts w:ascii="Times New Roman" w:cs="Times New Roman" w:eastAsia="Times New Roman" w:hAnsi="Times New Roman"/>
          <w:sz w:val="22"/>
          <w:szCs w:val="22"/>
          <w:color w:val="auto"/>
        </w:rPr>
      </w:pPr>
    </w:p>
    <w:p>
      <w:pPr>
        <w:ind w:left="2040" w:hanging="505"/>
        <w:spacing w:after="0" w:line="255" w:lineRule="auto"/>
        <w:tabs>
          <w:tab w:leader="none" w:pos="204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(A) cash payments not subject to Section 409A of the Code;</w:t>
      </w:r>
    </w:p>
    <w:p>
      <w:pPr>
        <w:spacing w:after="0" w:line="2" w:lineRule="exact"/>
        <w:rPr>
          <w:rFonts w:ascii="Times New Roman" w:cs="Times New Roman" w:eastAsia="Times New Roman" w:hAnsi="Times New Roman"/>
          <w:sz w:val="20"/>
          <w:szCs w:val="20"/>
          <w:color w:val="auto"/>
        </w:rPr>
      </w:pPr>
    </w:p>
    <w:p>
      <w:pPr>
        <w:ind w:left="2380" w:hanging="336"/>
        <w:spacing w:after="0"/>
        <w:tabs>
          <w:tab w:leader="none" w:pos="238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subject to Section 409A of the Code; (C) equity-based payments and acceleration; and</w:t>
      </w:r>
    </w:p>
    <w:p>
      <w:pPr>
        <w:spacing w:after="0" w:line="12" w:lineRule="exact"/>
        <w:rPr>
          <w:rFonts w:ascii="Times New Roman" w:cs="Times New Roman" w:eastAsia="Times New Roman" w:hAnsi="Times New Roman"/>
          <w:sz w:val="20"/>
          <w:szCs w:val="20"/>
          <w:color w:val="auto"/>
        </w:rPr>
      </w:pPr>
    </w:p>
    <w:p>
      <w:pPr>
        <w:ind w:left="2040" w:right="220" w:firstLine="4"/>
        <w:spacing w:after="0" w:line="233" w:lineRule="auto"/>
        <w:tabs>
          <w:tab w:leader="none" w:pos="2393"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non-cash forms of benefits;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72" w:lineRule="exact"/>
        <w:rPr>
          <w:rFonts w:ascii="Times New Roman" w:cs="Times New Roman" w:eastAsia="Times New Roman" w:hAnsi="Times New Roman"/>
          <w:sz w:val="22"/>
          <w:szCs w:val="22"/>
          <w:color w:val="auto"/>
        </w:rPr>
      </w:pPr>
    </w:p>
    <w:p>
      <w:pPr>
        <w:ind w:left="2040" w:right="20" w:hanging="505"/>
        <w:spacing w:after="0" w:line="236" w:lineRule="auto"/>
        <w:tabs>
          <w:tab w:leader="none" w:pos="204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7(b), the “</w:t>
      </w:r>
      <w:r>
        <w:rPr>
          <w:rFonts w:ascii="Times New Roman" w:cs="Times New Roman" w:eastAsia="Times New Roman" w:hAnsi="Times New Roman"/>
          <w:sz w:val="22"/>
          <w:szCs w:val="22"/>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83" w:name="page184"/>
    <w:bookmarkEnd w:id="183"/>
    <w:p>
      <w:pPr>
        <w:ind w:left="1524" w:right="20"/>
        <w:spacing w:after="0" w:line="258" w:lineRule="auto"/>
        <w:rPr>
          <w:sz w:val="20"/>
          <w:szCs w:val="20"/>
          <w:color w:val="auto"/>
        </w:rPr>
      </w:pPr>
      <w:r>
        <w:rPr>
          <w:rFonts w:ascii="Times New Roman" w:cs="Times New Roman" w:eastAsia="Times New Roman" w:hAnsi="Times New Roman"/>
          <w:sz w:val="22"/>
          <w:szCs w:val="22"/>
          <w:color w:val="auto"/>
        </w:rPr>
        <w:t>taxation in each applicable state and locality, net of the maximum reduction in federal income taxes which could be obtained from deduction of such state and local taxes.</w:t>
      </w:r>
    </w:p>
    <w:p>
      <w:pPr>
        <w:spacing w:after="0" w:line="292" w:lineRule="exact"/>
        <w:rPr>
          <w:sz w:val="20"/>
          <w:szCs w:val="20"/>
          <w:color w:val="auto"/>
        </w:rPr>
      </w:pPr>
    </w:p>
    <w:p>
      <w:pPr>
        <w:ind w:left="1524" w:right="40" w:hanging="505"/>
        <w:spacing w:after="0" w:line="236" w:lineRule="auto"/>
        <w:tabs>
          <w:tab w:leader="none" w:pos="1524"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whether a reduction in the Aggregate Payments shall be made pursuant to Section 7(b)(i) shall be made by a nationally recognized accounting firm selected by the Company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71" w:lineRule="exact"/>
        <w:rPr>
          <w:rFonts w:ascii="Times New Roman" w:cs="Times New Roman" w:eastAsia="Times New Roman" w:hAnsi="Times New Roman"/>
          <w:sz w:val="22"/>
          <w:szCs w:val="22"/>
          <w:color w:val="auto"/>
        </w:rPr>
      </w:pPr>
    </w:p>
    <w:p>
      <w:pPr>
        <w:ind w:left="1024" w:right="200" w:hanging="514"/>
        <w:spacing w:after="0" w:line="258" w:lineRule="auto"/>
        <w:tabs>
          <w:tab w:leader="none" w:pos="102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the meaning ascribed to the term “Sale Event” as used in the Company’s 2022 Stock Option and Incentive Plan.</w:t>
      </w:r>
    </w:p>
    <w:p>
      <w:pPr>
        <w:spacing w:after="0" w:line="49" w:lineRule="exact"/>
        <w:rPr>
          <w:rFonts w:ascii="Times New Roman" w:cs="Times New Roman" w:eastAsia="Times New Roman" w:hAnsi="Times New Roman"/>
          <w:sz w:val="22"/>
          <w:szCs w:val="22"/>
          <w:color w:val="auto"/>
        </w:rPr>
      </w:pPr>
    </w:p>
    <w:p>
      <w:pPr>
        <w:ind w:left="504" w:hanging="504"/>
        <w:spacing w:after="0"/>
        <w:tabs>
          <w:tab w:leader="none" w:pos="50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97" w:lineRule="exact"/>
        <w:rPr>
          <w:rFonts w:ascii="Times New Roman" w:cs="Times New Roman" w:eastAsia="Times New Roman" w:hAnsi="Times New Roman"/>
          <w:sz w:val="22"/>
          <w:szCs w:val="22"/>
          <w:color w:val="auto"/>
        </w:rPr>
      </w:pPr>
    </w:p>
    <w:p>
      <w:pPr>
        <w:ind w:left="1024" w:hanging="514"/>
        <w:spacing w:after="0" w:line="233" w:lineRule="auto"/>
        <w:tabs>
          <w:tab w:leader="none" w:pos="102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(i) six months and one day after the Executive’s separation from service, or (ii)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73" w:lineRule="exact"/>
        <w:rPr>
          <w:rFonts w:ascii="Times New Roman" w:cs="Times New Roman" w:eastAsia="Times New Roman" w:hAnsi="Times New Roman"/>
          <w:sz w:val="22"/>
          <w:szCs w:val="22"/>
          <w:color w:val="auto"/>
        </w:rPr>
      </w:pPr>
    </w:p>
    <w:p>
      <w:pPr>
        <w:ind w:left="1024" w:right="120" w:hanging="514"/>
        <w:spacing w:after="0" w:line="234" w:lineRule="auto"/>
        <w:tabs>
          <w:tab w:leader="none" w:pos="102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6" w:lineRule="exact"/>
        <w:rPr>
          <w:rFonts w:ascii="Times New Roman" w:cs="Times New Roman" w:eastAsia="Times New Roman" w:hAnsi="Times New Roman"/>
          <w:sz w:val="22"/>
          <w:szCs w:val="22"/>
          <w:color w:val="auto"/>
        </w:rPr>
      </w:pPr>
    </w:p>
    <w:p>
      <w:pPr>
        <w:ind w:left="1024" w:right="120" w:hanging="514"/>
        <w:spacing w:after="0" w:line="244" w:lineRule="auto"/>
        <w:tabs>
          <w:tab w:leader="none" w:pos="102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619125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124" w:right="339" w:bottom="1440" w:gutter="0" w:footer="0" w:header="0"/>
        </w:sectPr>
      </w:pPr>
    </w:p>
    <w:bookmarkStart w:id="184" w:name="page185"/>
    <w:bookmarkEnd w:id="184"/>
    <w:p>
      <w:pPr>
        <w:ind w:left="1024" w:right="500"/>
        <w:spacing w:after="0" w:line="244" w:lineRule="auto"/>
        <w:rPr>
          <w:sz w:val="20"/>
          <w:szCs w:val="20"/>
          <w:color w:val="auto"/>
        </w:rPr>
      </w:pPr>
      <w:r>
        <w:rPr>
          <w:rFonts w:ascii="Times New Roman" w:cs="Times New Roman" w:eastAsia="Times New Roman" w:hAnsi="Times New Roman"/>
          <w:sz w:val="22"/>
          <w:szCs w:val="22"/>
          <w:color w:val="auto"/>
        </w:rPr>
        <w:t>upon the Executive’s “separation from service.” The determination of whether and when a separation from service has occurred shall be made in accordance with the presumptions set forth in Treasury Regulation Section 1.409A-1(h).</w:t>
      </w:r>
    </w:p>
    <w:p>
      <w:pPr>
        <w:spacing w:after="0" w:line="64" w:lineRule="exact"/>
        <w:rPr>
          <w:sz w:val="20"/>
          <w:szCs w:val="20"/>
          <w:color w:val="auto"/>
        </w:rPr>
      </w:pPr>
    </w:p>
    <w:p>
      <w:pPr>
        <w:ind w:left="1024" w:hanging="514"/>
        <w:spacing w:after="0" w:line="234" w:lineRule="auto"/>
        <w:tabs>
          <w:tab w:leader="none" w:pos="102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4" w:lineRule="exact"/>
        <w:rPr>
          <w:rFonts w:ascii="Times New Roman" w:cs="Times New Roman" w:eastAsia="Times New Roman" w:hAnsi="Times New Roman"/>
          <w:sz w:val="22"/>
          <w:szCs w:val="22"/>
          <w:color w:val="auto"/>
        </w:rPr>
      </w:pPr>
    </w:p>
    <w:p>
      <w:pPr>
        <w:ind w:left="1024" w:right="440" w:hanging="514"/>
        <w:spacing w:after="0" w:line="280" w:lineRule="auto"/>
        <w:tabs>
          <w:tab w:leader="none" w:pos="102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38"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1024" w:right="60" w:hanging="514"/>
        <w:spacing w:after="0" w:line="234" w:lineRule="auto"/>
        <w:tabs>
          <w:tab w:leader="none" w:pos="102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xml:space="preserve">. In consideration for the Executive's Base Salary and Target Bonus provided for in this Agreement, such amounts the Executive acknowledges are consideration that is fair and reasonable and independent of the Executive's continued employment with the Company, the Executive is required to enter into the Employee Confidentiality, Assignment and Nonsolicitation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For purposes of this Agreement, the obligations in this Section 9, the obligations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left="1024" w:hanging="514"/>
        <w:spacing w:after="0" w:line="259" w:lineRule="auto"/>
        <w:tabs>
          <w:tab w:leader="none" w:pos="102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Agreements and Rights</w:t>
      </w:r>
      <w:r>
        <w:rPr>
          <w:rFonts w:ascii="Times New Roman" w:cs="Times New Roman" w:eastAsia="Times New Roman" w:hAnsi="Times New Roman"/>
          <w:sz w:val="20"/>
          <w:szCs w:val="20"/>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612140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124" w:right="339" w:bottom="1440" w:gutter="0" w:footer="0" w:header="0"/>
        </w:sectPr>
      </w:pPr>
    </w:p>
    <w:bookmarkStart w:id="185" w:name="page186"/>
    <w:bookmarkEnd w:id="185"/>
    <w:p>
      <w:pPr>
        <w:ind w:left="1024" w:right="80" w:hanging="514"/>
        <w:spacing w:after="0" w:line="233" w:lineRule="auto"/>
        <w:tabs>
          <w:tab w:leader="none" w:pos="102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Board.tenses incurred in connection with the Executive’s performance of obligations pursuant to this Section 9(c).</w:t>
      </w:r>
    </w:p>
    <w:p>
      <w:pPr>
        <w:spacing w:after="0" w:line="70" w:lineRule="exact"/>
        <w:rPr>
          <w:rFonts w:ascii="Times New Roman" w:cs="Times New Roman" w:eastAsia="Times New Roman" w:hAnsi="Times New Roman"/>
          <w:sz w:val="22"/>
          <w:szCs w:val="22"/>
          <w:color w:val="auto"/>
        </w:rPr>
      </w:pPr>
    </w:p>
    <w:p>
      <w:pPr>
        <w:ind w:left="1024" w:right="160" w:hanging="514"/>
        <w:spacing w:after="0" w:line="264" w:lineRule="auto"/>
        <w:tabs>
          <w:tab w:leader="none" w:pos="102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Relief</w:t>
      </w:r>
      <w:r>
        <w:rPr>
          <w:rFonts w:ascii="Times New Roman" w:cs="Times New Roman" w:eastAsia="Times New Roman" w:hAnsi="Times New Roman"/>
          <w:sz w:val="20"/>
          <w:szCs w:val="20"/>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54" w:lineRule="exact"/>
        <w:rPr>
          <w:rFonts w:ascii="Times New Roman" w:cs="Times New Roman" w:eastAsia="Times New Roman" w:hAnsi="Times New Roman"/>
          <w:sz w:val="20"/>
          <w:szCs w:val="20"/>
          <w:color w:val="auto"/>
        </w:rPr>
      </w:pPr>
    </w:p>
    <w:p>
      <w:pPr>
        <w:ind w:left="504" w:right="80" w:hanging="504"/>
        <w:spacing w:after="0" w:line="239" w:lineRule="auto"/>
        <w:tabs>
          <w:tab w:leader="none" w:pos="50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State of California. Accordingly, with respect to any such court action, the Executive (a) submits to the exclusive personal jurisdiction of such courts;(b) consents to service of process; and (c) waives any other requirement (whether imposed by statute, rule of court, or otherwise) with respect to personal jurisdiction or service of process.</w:t>
      </w:r>
    </w:p>
    <w:p>
      <w:pPr>
        <w:spacing w:after="0" w:line="178" w:lineRule="exact"/>
        <w:rPr>
          <w:rFonts w:ascii="Times New Roman" w:cs="Times New Roman" w:eastAsia="Times New Roman" w:hAnsi="Times New Roman"/>
          <w:sz w:val="22"/>
          <w:szCs w:val="22"/>
          <w:color w:val="auto"/>
        </w:rPr>
      </w:pPr>
    </w:p>
    <w:p>
      <w:pPr>
        <w:ind w:left="504" w:hanging="504"/>
        <w:spacing w:after="0"/>
        <w:tabs>
          <w:tab w:leader="none" w:pos="50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1024" w:hanging="514"/>
        <w:spacing w:after="0" w:line="233" w:lineRule="auto"/>
        <w:tabs>
          <w:tab w:leader="none" w:pos="102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of Disputes</w:t>
      </w:r>
      <w:r>
        <w:rPr>
          <w:rFonts w:ascii="Times New Roman" w:cs="Times New Roman" w:eastAsia="Times New Roman" w:hAnsi="Times New Roman"/>
          <w:sz w:val="22"/>
          <w:szCs w:val="22"/>
          <w:color w:val="auto"/>
        </w:rPr>
        <w:t>. In consideration of the Executive’s employment with the Company, its promise to arbitrate all employment-related disputes with the Executive, and the Executive’s receipt of compensation and other Company benefits, at present and in the future, the Executive agrees that any and all controversies, claims, or disputes that the Executive has or may have with the Company (including any Company employee, officer, director, trustee, or benefit plan of the Company, in their capacity as such or otherwise), arising out of, relating to, or resulting from the Executive’s employment or relationship with the Company or the termination of the Executive’s employment or relationship with the Company, including any breach of this agreement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will be subject to binding arbitration under the Federal Arbitration Act (the “</w:t>
      </w:r>
      <w:r>
        <w:rPr>
          <w:rFonts w:ascii="Times New Roman" w:cs="Times New Roman" w:eastAsia="Times New Roman" w:hAnsi="Times New Roman"/>
          <w:sz w:val="22"/>
          <w:szCs w:val="22"/>
          <w:u w:val="single" w:color="auto"/>
          <w:color w:val="auto"/>
        </w:rPr>
        <w:t>FAA</w:t>
      </w:r>
      <w:r>
        <w:rPr>
          <w:rFonts w:ascii="Times New Roman" w:cs="Times New Roman" w:eastAsia="Times New Roman" w:hAnsi="Times New Roman"/>
          <w:sz w:val="22"/>
          <w:szCs w:val="22"/>
          <w:color w:val="auto"/>
        </w:rPr>
        <w:t>”). The Executive understands this mutual agreement to arbitrate applies to any Disputes that the Company may have with or against the Executive. The FAA’s substantive and procedural rules will govern and apply to this arbitration agreement with full force and effect, and any state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626745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231" w:right="359" w:bottom="1440" w:gutter="0" w:footer="0" w:header="0"/>
        </w:sectPr>
      </w:pPr>
    </w:p>
    <w:bookmarkStart w:id="186" w:name="page187"/>
    <w:bookmarkEnd w:id="186"/>
    <w:p>
      <w:pPr>
        <w:ind w:left="514"/>
        <w:spacing w:after="0" w:line="233" w:lineRule="auto"/>
        <w:rPr>
          <w:sz w:val="20"/>
          <w:szCs w:val="20"/>
          <w:color w:val="auto"/>
        </w:rPr>
      </w:pPr>
      <w:r>
        <w:rPr>
          <w:rFonts w:ascii="Times New Roman" w:cs="Times New Roman" w:eastAsia="Times New Roman" w:hAnsi="Times New Roman"/>
          <w:sz w:val="22"/>
          <w:szCs w:val="22"/>
          <w:color w:val="auto"/>
        </w:rPr>
        <w:t xml:space="preserve">may stay proceedings pending arbitration or compel arbitration in the same manner as a federal court under the FAA. The Executive further agrees that, to the fullest extent permitted by the FAA, Disputes may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initiated or maintained on a class action, collective action, or representative (i.e., on behalf of other employees) action basis either in court or arbitration, and the Executive further agrees to waive the right to initiate or maintain such an action, and the Executive also further agrees not to have Disputes adjudicated on the Executive’s behalf in any class action, collective action, or representative (i.e., on behalf of other employees) action. The Executive further agree that, to the fullest extent permitted by the FAA, Disputes will be arbitrated in the Executive’s individual capacity only (and, as applicable, on behalf of a state but not on behalf of any other employees). The Executive understands that the foregoing does not preclude the Executive from participating in a class action or collective action alleging sexual harassment or sexual assault arising on or after March 3, 2022 (or earlier date, to the extent applicable state or local law provides for an earlier date), as protected by applicable law.</w:t>
      </w:r>
    </w:p>
    <w:p>
      <w:pPr>
        <w:spacing w:after="0" w:line="181" w:lineRule="exact"/>
        <w:rPr>
          <w:sz w:val="20"/>
          <w:szCs w:val="20"/>
          <w:color w:val="auto"/>
        </w:rPr>
      </w:pPr>
    </w:p>
    <w:p>
      <w:pPr>
        <w:ind w:left="514" w:right="40" w:hanging="514"/>
        <w:spacing w:after="0" w:line="232" w:lineRule="auto"/>
        <w:tabs>
          <w:tab w:leader="none" w:pos="5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To the fullest extent permitted by law, the Executive agrees that Disputes include, but are not limited to any claims or controversies regarding breach of contract and any and all common law and/or statutory claims, such as claims relating to employment status, compensation, equity, and classification. Without limiting the foregoing, the Executive understands that Disputes include, without limitation, claims under the Worker Adjustment and Retraining Notification Act, the Fair Labor Standards Act, the Family and Medical Leave Act, and any claims of unlawful employment discrimination or retaliation, whether based on race, religion, national origin, sex, gender, age, disability, sexual orientation, or any other protected class under applicable law, such as claims brought under the California Labor Code, the California Fair Employment and Housing Act, the California Family Rights Act, Title VII of the Civil Rights Act of 1964, the Americans with Disabilities Act of 1990, the Age Discrimination in Employment Act of 1967, and the Older Workers Benefit Protection Act. To the fullest extent permitted by law, the Executive also agrees to arbitrate any and all disputes arising out of or relating to the interpretation or application of this agreement to arbitrate, but not disputes about the enforceability, revocability, or validity of this agreement to arbitrate. If, for any reason, the class action, collective action, or representative action waiver is held unenforceable or invalid in whole or in part, then a court of competent jurisdiction, not an arbitrator, will decide the type of claim as to which the waiver was held unenforceable or invalid and, to the maximum extent permitted, the court shall enforce the waiver(s) as to those claims it determines to be valid and enforceable.</w:t>
      </w:r>
    </w:p>
    <w:p>
      <w:pPr>
        <w:spacing w:after="0" w:line="184" w:lineRule="exact"/>
        <w:rPr>
          <w:rFonts w:ascii="Times New Roman" w:cs="Times New Roman" w:eastAsia="Times New Roman" w:hAnsi="Times New Roman"/>
          <w:sz w:val="22"/>
          <w:szCs w:val="22"/>
          <w:color w:val="auto"/>
        </w:rPr>
      </w:pPr>
    </w:p>
    <w:p>
      <w:pPr>
        <w:ind w:left="514" w:hanging="514"/>
        <w:spacing w:after="0" w:line="236" w:lineRule="auto"/>
        <w:tabs>
          <w:tab w:leader="none" w:pos="5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The Executive understands that nothing in this Agreement requires the Executive to arbitrate claims that cannot be arbitrated under applicable law, such as (i) claims under the Sarbanes-Oxley Act and (ii) </w:t>
      </w:r>
      <w:r>
        <w:rPr>
          <w:rFonts w:ascii="Times New Roman" w:cs="Times New Roman" w:eastAsia="Times New Roman" w:hAnsi="Times New Roman"/>
          <w:sz w:val="22"/>
          <w:szCs w:val="22"/>
          <w:color w:val="121212"/>
        </w:rPr>
        <w:t>claims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21212"/>
        </w:rPr>
        <w:t xml:space="preserve">constituting, relating to, and/or alleging sexual harassment or sexual assault </w:t>
      </w:r>
      <w:r>
        <w:rPr>
          <w:rFonts w:ascii="Times New Roman" w:cs="Times New Roman" w:eastAsia="Times New Roman" w:hAnsi="Times New Roman"/>
          <w:sz w:val="22"/>
          <w:szCs w:val="22"/>
          <w:color w:val="000000"/>
        </w:rPr>
        <w:t>based on conduct arising on or after</w:t>
      </w:r>
      <w:r>
        <w:rPr>
          <w:rFonts w:ascii="Times New Roman" w:cs="Times New Roman" w:eastAsia="Times New Roman" w:hAnsi="Times New Roman"/>
          <w:sz w:val="22"/>
          <w:szCs w:val="22"/>
          <w:color w:val="121212"/>
        </w:rPr>
        <w:t xml:space="preserve"> </w:t>
      </w:r>
      <w:r>
        <w:rPr>
          <w:rFonts w:ascii="Times New Roman" w:cs="Times New Roman" w:eastAsia="Times New Roman" w:hAnsi="Times New Roman"/>
          <w:sz w:val="22"/>
          <w:szCs w:val="22"/>
          <w:color w:val="000000"/>
        </w:rPr>
        <w:t>March 3, 2022 (or earlier date, to the extent applicable state or local law provides for an earlier date), unless the Executive chooses to proceed with such claims in arbitration. Similarly, nothing in this Agreement prohibits the Executive from engaging in Protected Activity,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623570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1346" w:top="1231" w:right="359" w:bottom="1440" w:gutter="0" w:footer="0" w:header="0"/>
        </w:sectPr>
      </w:pPr>
    </w:p>
    <w:bookmarkStart w:id="187" w:name="page188"/>
    <w:bookmarkEnd w:id="187"/>
    <w:p>
      <w:pPr>
        <w:ind w:left="514" w:right="60" w:hanging="514"/>
        <w:spacing w:after="0" w:line="233" w:lineRule="auto"/>
        <w:tabs>
          <w:tab w:leader="none" w:pos="5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The Executive agrees that any arbitration will be administered by JAMS pursuant to its employment arbitration rules &amp; procedures (the “</w:t>
      </w:r>
      <w:r>
        <w:rPr>
          <w:rFonts w:ascii="Times New Roman" w:cs="Times New Roman" w:eastAsia="Times New Roman" w:hAnsi="Times New Roman"/>
          <w:sz w:val="22"/>
          <w:szCs w:val="22"/>
          <w:u w:val="single" w:color="auto"/>
          <w:color w:val="auto"/>
        </w:rPr>
        <w:t>JAMS Rules</w:t>
      </w:r>
      <w:r>
        <w:rPr>
          <w:rFonts w:ascii="Times New Roman" w:cs="Times New Roman" w:eastAsia="Times New Roman" w:hAnsi="Times New Roman"/>
          <w:sz w:val="22"/>
          <w:szCs w:val="22"/>
          <w:color w:val="auto"/>
        </w:rPr>
        <w:t xml:space="preserve">”), which are available at </w:t>
      </w:r>
      <w:r>
        <w:rPr>
          <w:rFonts w:ascii="Times New Roman" w:cs="Times New Roman" w:eastAsia="Times New Roman" w:hAnsi="Times New Roman"/>
          <w:sz w:val="22"/>
          <w:szCs w:val="22"/>
          <w:color w:val="1738FF"/>
        </w:rPr>
        <w:t xml:space="preserve">http://www.jamsadr.com/rules-employment-arbitration/ </w:t>
      </w:r>
      <w:r>
        <w:rPr>
          <w:rFonts w:ascii="Times New Roman" w:cs="Times New Roman" w:eastAsia="Times New Roman" w:hAnsi="Times New Roman"/>
          <w:sz w:val="22"/>
          <w:szCs w:val="22"/>
          <w:color w:val="000000"/>
        </w:rPr>
        <w:t>provided, however, that the JAMS Rules shall not contradict or otherwise alter the</w:t>
      </w:r>
      <w:r>
        <w:rPr>
          <w:rFonts w:ascii="Times New Roman" w:cs="Times New Roman" w:eastAsia="Times New Roman" w:hAnsi="Times New Roman"/>
          <w:sz w:val="22"/>
          <w:szCs w:val="22"/>
          <w:color w:val="1738FF"/>
        </w:rPr>
        <w:t xml:space="preserve"> </w:t>
      </w:r>
      <w:r>
        <w:rPr>
          <w:rFonts w:ascii="Times New Roman" w:cs="Times New Roman" w:eastAsia="Times New Roman" w:hAnsi="Times New Roman"/>
          <w:sz w:val="22"/>
          <w:szCs w:val="22"/>
          <w:color w:val="000000"/>
        </w:rPr>
        <w:t>terms of this Agreement. The Executive agrees that the arbitrator will have the power to decide any motions brought by any party to the arbitration, including demurrers, motions for summary judgment and/or adjudication, and motions to dismiss and to strike, applying the standards set forth under the California rules of civil procedure. The Executive agrees that the arbitrator will issue a written decision on the merits. The Executive also agrees that the arbitrator will have the power to award any remedies available under applicable law, and that the arbitrator may award attorneys’ fees and costs to the prevailing party, where permitted by applicable law. The Executive agrees that the decree or award rendered by the arbitrator may be entered as a final and binding judgment in any court having jurisdiction thereof.</w:t>
      </w:r>
    </w:p>
    <w:p>
      <w:pPr>
        <w:spacing w:after="0" w:line="184" w:lineRule="exact"/>
        <w:rPr>
          <w:rFonts w:ascii="Times New Roman" w:cs="Times New Roman" w:eastAsia="Times New Roman" w:hAnsi="Times New Roman"/>
          <w:sz w:val="22"/>
          <w:szCs w:val="22"/>
          <w:color w:val="auto"/>
        </w:rPr>
      </w:pPr>
    </w:p>
    <w:p>
      <w:pPr>
        <w:ind w:left="514" w:right="260" w:hanging="514"/>
        <w:spacing w:after="0" w:line="258" w:lineRule="auto"/>
        <w:tabs>
          <w:tab w:leader="none" w:pos="5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Arbitration</w:t>
      </w:r>
      <w:r>
        <w:rPr>
          <w:rFonts w:ascii="Times New Roman" w:cs="Times New Roman" w:eastAsia="Times New Roman" w:hAnsi="Times New Roman"/>
          <w:sz w:val="22"/>
          <w:szCs w:val="22"/>
          <w:color w:val="auto"/>
        </w:rPr>
        <w:t>. The executive agrees that any arbitration under this Agreement shall be conducted in the County of Marin, California.</w:t>
      </w:r>
    </w:p>
    <w:p>
      <w:pPr>
        <w:spacing w:after="0" w:line="157" w:lineRule="exact"/>
        <w:rPr>
          <w:rFonts w:ascii="Times New Roman" w:cs="Times New Roman" w:eastAsia="Times New Roman" w:hAnsi="Times New Roman"/>
          <w:sz w:val="22"/>
          <w:szCs w:val="22"/>
          <w:color w:val="auto"/>
        </w:rPr>
      </w:pPr>
    </w:p>
    <w:p>
      <w:pPr>
        <w:ind w:left="514" w:right="200" w:hanging="514"/>
        <w:spacing w:after="0" w:line="239" w:lineRule="auto"/>
        <w:tabs>
          <w:tab w:leader="none" w:pos="5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of Arbitration</w:t>
      </w:r>
      <w:r>
        <w:rPr>
          <w:rFonts w:ascii="Times New Roman" w:cs="Times New Roman" w:eastAsia="Times New Roman" w:hAnsi="Times New Roman"/>
          <w:sz w:val="22"/>
          <w:szCs w:val="22"/>
          <w:color w:val="auto"/>
        </w:rPr>
        <w:t>. The Executive understands that the Company will pay for any administrative or hearing fees charged by the arbitrator or JAMS except that the Executive will pay any filing fees associated with any arbitration that the Executive initiates, but only so much of the filing fees as the Executive would have instead paid had the Executive filed a complaint in a court of law.</w:t>
      </w:r>
    </w:p>
    <w:p>
      <w:pPr>
        <w:spacing w:after="0" w:line="178" w:lineRule="exact"/>
        <w:rPr>
          <w:rFonts w:ascii="Times New Roman" w:cs="Times New Roman" w:eastAsia="Times New Roman" w:hAnsi="Times New Roman"/>
          <w:sz w:val="22"/>
          <w:szCs w:val="22"/>
          <w:color w:val="auto"/>
        </w:rPr>
      </w:pPr>
    </w:p>
    <w:p>
      <w:pPr>
        <w:ind w:left="514" w:hanging="514"/>
        <w:spacing w:after="0" w:line="244" w:lineRule="auto"/>
        <w:tabs>
          <w:tab w:leader="none" w:pos="5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Remedy</w:t>
      </w:r>
      <w:r>
        <w:rPr>
          <w:rFonts w:ascii="Times New Roman" w:cs="Times New Roman" w:eastAsia="Times New Roman" w:hAnsi="Times New Roman"/>
          <w:sz w:val="22"/>
          <w:szCs w:val="22"/>
          <w:color w:val="auto"/>
        </w:rPr>
        <w:t>. Except for the pursuit of any provisional remedy permitted by applicable law or otherwise provided by this Agreement, the Executive agrees that arbitration shall be the sole, exclusive, and final remedy for any Dispute between the Company and the Executive.</w:t>
      </w:r>
    </w:p>
    <w:p>
      <w:pPr>
        <w:spacing w:after="0" w:line="172" w:lineRule="exact"/>
        <w:rPr>
          <w:rFonts w:ascii="Times New Roman" w:cs="Times New Roman" w:eastAsia="Times New Roman" w:hAnsi="Times New Roman"/>
          <w:sz w:val="22"/>
          <w:szCs w:val="22"/>
          <w:color w:val="auto"/>
        </w:rPr>
      </w:pPr>
    </w:p>
    <w:p>
      <w:pPr>
        <w:ind w:left="514" w:right="40" w:hanging="514"/>
        <w:spacing w:after="0" w:line="236" w:lineRule="auto"/>
        <w:tabs>
          <w:tab w:leader="none" w:pos="5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Relief</w:t>
      </w:r>
      <w:r>
        <w:rPr>
          <w:rFonts w:ascii="Times New Roman" w:cs="Times New Roman" w:eastAsia="Times New Roman" w:hAnsi="Times New Roman"/>
          <w:sz w:val="22"/>
          <w:szCs w:val="22"/>
          <w:color w:val="auto"/>
        </w:rPr>
        <w:t>. The Executive understands this agreement does not prohibit the Executive from pursuing an administrative claim with a local, state, or federal administrative body or government agency that is authorized to enforce or administer laws related to employment, including, but not limited to, the Equal Employment Opportunity Commission, the National Labor Relations Board, the Securities and Exchange Commission, or the Workers’ Compensation Board.This Agreement does, however, preclude the Executive from pursuing a court action regarding any such claim, except as permitted by law.</w:t>
      </w:r>
    </w:p>
    <w:p>
      <w:pPr>
        <w:spacing w:after="0" w:line="179" w:lineRule="exact"/>
        <w:rPr>
          <w:rFonts w:ascii="Times New Roman" w:cs="Times New Roman" w:eastAsia="Times New Roman" w:hAnsi="Times New Roman"/>
          <w:sz w:val="22"/>
          <w:szCs w:val="22"/>
          <w:color w:val="auto"/>
        </w:rPr>
      </w:pPr>
    </w:p>
    <w:p>
      <w:pPr>
        <w:ind w:left="514" w:right="180" w:hanging="514"/>
        <w:spacing w:after="0" w:line="261" w:lineRule="auto"/>
        <w:tabs>
          <w:tab w:leader="none" w:pos="51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Nature of Agreement and Waiver of Jury Trial</w:t>
      </w:r>
      <w:r>
        <w:rPr>
          <w:rFonts w:ascii="Times New Roman" w:cs="Times New Roman" w:eastAsia="Times New Roman" w:hAnsi="Times New Roman"/>
          <w:sz w:val="20"/>
          <w:szCs w:val="20"/>
          <w:color w:val="auto"/>
        </w:rPr>
        <w:t xml:space="preserve">. The Executive acknowledges and agrees that the Executive is executing this Agreement voluntarily and without any duress or undue influence by the Company or anyone else. The Executive further acknowledges and agrees that the Executive has carefully read this Agreement and that the Executive has asked any questions needed for the Executive to understand the terms, consequences, and binding effect of this Agreement and fully understand it, including that </w:t>
      </w:r>
      <w:r>
        <w:rPr>
          <w:rFonts w:ascii="Times New Roman" w:cs="Times New Roman" w:eastAsia="Times New Roman" w:hAnsi="Times New Roman"/>
          <w:sz w:val="20"/>
          <w:szCs w:val="20"/>
          <w:u w:val="single" w:color="auto"/>
          <w:color w:val="auto"/>
        </w:rPr>
        <w:t>the Executive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waiving the Executive’s right to seek relief in a court of law for any and all Disputes, including any alleged breach of statutory or common law rights and that the Executive understands that both the Company and the Executive are waiving their right to a jury trial</w:t>
      </w:r>
      <w:r>
        <w:rPr>
          <w:rFonts w:ascii="Times New Roman" w:cs="Times New Roman" w:eastAsia="Times New Roman" w:hAnsi="Times New Roman"/>
          <w:sz w:val="20"/>
          <w:szCs w:val="20"/>
          <w:color w:val="auto"/>
        </w:rPr>
        <w:t xml:space="preserve"> with respect to all Disputes. Finally, the Executive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609600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124" w:right="339" w:bottom="1440" w:gutter="0" w:footer="0" w:header="0"/>
        </w:sectPr>
      </w:pPr>
    </w:p>
    <w:bookmarkStart w:id="188" w:name="page189"/>
    <w:bookmarkEnd w:id="188"/>
    <w:p>
      <w:pPr>
        <w:ind w:left="1024" w:right="120"/>
        <w:spacing w:after="0" w:line="258" w:lineRule="auto"/>
        <w:rPr>
          <w:sz w:val="20"/>
          <w:szCs w:val="20"/>
          <w:color w:val="auto"/>
        </w:rPr>
      </w:pPr>
      <w:r>
        <w:rPr>
          <w:rFonts w:ascii="Times New Roman" w:cs="Times New Roman" w:eastAsia="Times New Roman" w:hAnsi="Times New Roman"/>
          <w:sz w:val="22"/>
          <w:szCs w:val="22"/>
          <w:color w:val="auto"/>
        </w:rPr>
        <w:t>that the Executive has been provided an opportunity to seek the advice of an attorney of the Executive’s choice before signing this Agreement.</w:t>
      </w:r>
    </w:p>
    <w:p>
      <w:pPr>
        <w:spacing w:after="0" w:line="49" w:lineRule="exact"/>
        <w:rPr>
          <w:sz w:val="20"/>
          <w:szCs w:val="20"/>
          <w:color w:val="auto"/>
        </w:rPr>
      </w:pPr>
    </w:p>
    <w:p>
      <w:pPr>
        <w:ind w:left="1024" w:hanging="514"/>
        <w:spacing w:after="0" w:line="257" w:lineRule="auto"/>
        <w:tabs>
          <w:tab w:leader="none" w:pos="102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The Executive acknowledges that (i) the Executive is entering into this Agreement knowingly and voluntarily; (ii) this Agreement is supported by bargained-for consideration; (iii) the Company’s business, and the Executive’s employment with the Company, involves interstate commerce; (iv) the Executive retains the right to report any good faith allegation of a purported violation of anti-discrimination laws to the appropriate federal, state, or local government agency enforcing discrimination laws; (v) the Executive retains the right to report any good faith allegation of criminal conduct to any appropriate federal, state, or local official; (vi) the Executive retains the right to participate in a proceeding with any appropriate federal, state, or local government agency enforcing discrimination laws; (vii) the Executive retains the right to make any truthful statements or disclosures required by law, regulation, or legal process; and (viii) the Executive retains the right to request or receive confidential legal advice. Also, by signing this agreement, the Executive acknowledges that the Executive received and read this arbitration section, and the Executive understands that it requires that disputes that involve the matters subject to the agreement be submitted to arbitration pursuant to the arbitration agreement rather than to a judge and jury in court.</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504" w:right="260" w:hanging="504"/>
        <w:spacing w:after="0" w:line="244" w:lineRule="auto"/>
        <w:tabs>
          <w:tab w:leader="none" w:pos="50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together with the Equity Documents, the Restrictive Covenants Agreement and the Officer Indemnification Agreement, constitutes the entire agreement between the parties with respect to the subject matter hereof and supersedes all prior agreements between the parties concerning such subject matter.</w:t>
      </w:r>
    </w:p>
    <w:p>
      <w:pPr>
        <w:spacing w:after="0" w:line="172" w:lineRule="exact"/>
        <w:rPr>
          <w:rFonts w:ascii="Times New Roman" w:cs="Times New Roman" w:eastAsia="Times New Roman" w:hAnsi="Times New Roman"/>
          <w:sz w:val="22"/>
          <w:szCs w:val="22"/>
          <w:color w:val="auto"/>
        </w:rPr>
      </w:pPr>
    </w:p>
    <w:p>
      <w:pPr>
        <w:jc w:val="both"/>
        <w:ind w:left="504" w:right="180" w:hanging="504"/>
        <w:spacing w:after="0" w:line="271" w:lineRule="auto"/>
        <w:tabs>
          <w:tab w:leader="none" w:pos="5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 Effect</w:t>
      </w:r>
      <w:r>
        <w:rPr>
          <w:rFonts w:ascii="Times New Roman" w:cs="Times New Roman" w:eastAsia="Times New Roman" w:hAnsi="Times New Roman"/>
          <w:sz w:val="20"/>
          <w:szCs w:val="20"/>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47" w:lineRule="exact"/>
        <w:rPr>
          <w:rFonts w:ascii="Times New Roman" w:cs="Times New Roman" w:eastAsia="Times New Roman" w:hAnsi="Times New Roman"/>
          <w:sz w:val="20"/>
          <w:szCs w:val="20"/>
          <w:color w:val="auto"/>
        </w:rPr>
      </w:pPr>
    </w:p>
    <w:p>
      <w:pPr>
        <w:ind w:left="504" w:right="100" w:hanging="504"/>
        <w:spacing w:after="0" w:line="233" w:lineRule="auto"/>
        <w:tabs>
          <w:tab w:leader="none" w:pos="50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Successors and Assigns</w:t>
      </w:r>
      <w:r>
        <w:rPr>
          <w:rFonts w:ascii="Times New Roman" w:cs="Times New Roman" w:eastAsia="Times New Roman" w:hAnsi="Times New Roman"/>
          <w:sz w:val="22"/>
          <w:szCs w:val="22"/>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assign its rights and obligations under this Agreement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Section 7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622935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231" w:right="359" w:bottom="1440" w:gutter="0" w:footer="0" w:header="0"/>
        </w:sectPr>
      </w:pPr>
    </w:p>
    <w:bookmarkStart w:id="189" w:name="page190"/>
    <w:bookmarkEnd w:id="189"/>
    <w:p>
      <w:pPr>
        <w:ind w:left="504" w:right="80"/>
        <w:spacing w:after="0" w:line="258" w:lineRule="auto"/>
        <w:rPr>
          <w:sz w:val="20"/>
          <w:szCs w:val="20"/>
          <w:color w:val="auto"/>
        </w:rPr>
      </w:pPr>
      <w:r>
        <w:rPr>
          <w:rFonts w:ascii="Times New Roman" w:cs="Times New Roman" w:eastAsia="Times New Roman" w:hAnsi="Times New Roman"/>
          <w:sz w:val="22"/>
          <w:szCs w:val="22"/>
          <w:color w:val="auto"/>
        </w:rPr>
        <w:t>such payments to the Executive’s beneficiary designated in writing to the Company prior to the Executive’s death (or to the Executive’s estate, if the Executive fails to make such designation).</w:t>
      </w:r>
    </w:p>
    <w:p>
      <w:pPr>
        <w:spacing w:after="0" w:line="157" w:lineRule="exact"/>
        <w:rPr>
          <w:sz w:val="20"/>
          <w:szCs w:val="20"/>
          <w:color w:val="auto"/>
        </w:rPr>
      </w:pPr>
    </w:p>
    <w:p>
      <w:pPr>
        <w:ind w:left="504" w:right="160" w:hanging="504"/>
        <w:spacing w:after="0" w:line="266" w:lineRule="auto"/>
        <w:tabs>
          <w:tab w:leader="none" w:pos="5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4" w:lineRule="exact"/>
        <w:rPr>
          <w:rFonts w:ascii="Times New Roman" w:cs="Times New Roman" w:eastAsia="Times New Roman" w:hAnsi="Times New Roman"/>
          <w:sz w:val="20"/>
          <w:szCs w:val="20"/>
          <w:color w:val="auto"/>
        </w:rPr>
      </w:pPr>
    </w:p>
    <w:p>
      <w:pPr>
        <w:ind w:left="504" w:right="1020" w:hanging="504"/>
        <w:spacing w:after="0" w:line="258" w:lineRule="auto"/>
        <w:tabs>
          <w:tab w:leader="none" w:pos="50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For the avoidance of doubt, the provisions of this Agreement shall survive the termination of the Executive’s employment to the extent necessary to effectuate the terms contained herein.</w:t>
      </w:r>
    </w:p>
    <w:p>
      <w:pPr>
        <w:spacing w:after="0" w:line="157" w:lineRule="exact"/>
        <w:rPr>
          <w:rFonts w:ascii="Times New Roman" w:cs="Times New Roman" w:eastAsia="Times New Roman" w:hAnsi="Times New Roman"/>
          <w:sz w:val="22"/>
          <w:szCs w:val="22"/>
          <w:color w:val="auto"/>
        </w:rPr>
      </w:pPr>
    </w:p>
    <w:p>
      <w:pPr>
        <w:jc w:val="both"/>
        <w:ind w:left="504" w:right="60" w:hanging="504"/>
        <w:spacing w:after="0" w:line="239" w:lineRule="auto"/>
        <w:tabs>
          <w:tab w:leader="none" w:pos="50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8" w:lineRule="exact"/>
        <w:rPr>
          <w:rFonts w:ascii="Times New Roman" w:cs="Times New Roman" w:eastAsia="Times New Roman" w:hAnsi="Times New Roman"/>
          <w:sz w:val="22"/>
          <w:szCs w:val="22"/>
          <w:color w:val="auto"/>
        </w:rPr>
      </w:pPr>
    </w:p>
    <w:p>
      <w:pPr>
        <w:ind w:left="504" w:hanging="504"/>
        <w:spacing w:after="0" w:line="271" w:lineRule="auto"/>
        <w:tabs>
          <w:tab w:leader="none" w:pos="5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Times New Roman" w:cs="Times New Roman" w:eastAsia="Times New Roman" w:hAnsi="Times New Roman"/>
          <w:sz w:val="20"/>
          <w:szCs w:val="20"/>
          <w:color w:val="auto"/>
        </w:rPr>
      </w:pPr>
    </w:p>
    <w:p>
      <w:pPr>
        <w:ind w:left="504" w:right="60" w:hanging="504"/>
        <w:spacing w:after="0" w:line="258" w:lineRule="auto"/>
        <w:tabs>
          <w:tab w:leader="none" w:pos="50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7" w:lineRule="exact"/>
        <w:rPr>
          <w:rFonts w:ascii="Times New Roman" w:cs="Times New Roman" w:eastAsia="Times New Roman" w:hAnsi="Times New Roman"/>
          <w:sz w:val="22"/>
          <w:szCs w:val="22"/>
          <w:color w:val="auto"/>
        </w:rPr>
      </w:pPr>
    </w:p>
    <w:p>
      <w:pPr>
        <w:ind w:left="504" w:hanging="504"/>
        <w:spacing w:after="0" w:line="259" w:lineRule="auto"/>
        <w:tabs>
          <w:tab w:leader="none" w:pos="5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Other Plans and Agreements</w:t>
      </w:r>
      <w:r>
        <w:rPr>
          <w:rFonts w:ascii="Times New Roman" w:cs="Times New Roman" w:eastAsia="Times New Roman" w:hAnsi="Times New Roman"/>
          <w:sz w:val="20"/>
          <w:szCs w:val="20"/>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9 hereof, and except that the Executive shall have no rights to any severance benefits under any Company severance pay plan, offer letter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Section7 of this Agreement are mutually exclusive and in no event shall the Executive be entitled to payments or benefits pursuant to both Section 5 and Section 7 of this Agreement.</w:t>
      </w:r>
    </w:p>
    <w:p>
      <w:pPr>
        <w:spacing w:after="0" w:line="161" w:lineRule="exact"/>
        <w:rPr>
          <w:rFonts w:ascii="Times New Roman" w:cs="Times New Roman" w:eastAsia="Times New Roman" w:hAnsi="Times New Roman"/>
          <w:sz w:val="20"/>
          <w:szCs w:val="20"/>
          <w:color w:val="auto"/>
        </w:rPr>
      </w:pPr>
    </w:p>
    <w:p>
      <w:pPr>
        <w:jc w:val="both"/>
        <w:ind w:left="504" w:right="40" w:hanging="504"/>
        <w:spacing w:after="0" w:line="244" w:lineRule="auto"/>
        <w:tabs>
          <w:tab w:leader="none" w:pos="50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California contract and shall be construed under and be governed in all respects by the laws of the State of California, without giving effect to the conflict of laws principles thereof. With respect to any disputes concerning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619125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232" w:right="359" w:bottom="1440" w:gutter="0" w:footer="0" w:header="0"/>
        </w:sectPr>
      </w:pPr>
    </w:p>
    <w:bookmarkStart w:id="190" w:name="page191"/>
    <w:bookmarkEnd w:id="190"/>
    <w:p>
      <w:pPr>
        <w:ind w:left="504"/>
        <w:spacing w:after="0" w:line="258" w:lineRule="auto"/>
        <w:rPr>
          <w:sz w:val="20"/>
          <w:szCs w:val="20"/>
          <w:color w:val="auto"/>
        </w:rPr>
      </w:pPr>
      <w:r>
        <w:rPr>
          <w:rFonts w:ascii="Times New Roman" w:cs="Times New Roman" w:eastAsia="Times New Roman" w:hAnsi="Times New Roman"/>
          <w:sz w:val="22"/>
          <w:szCs w:val="22"/>
          <w:color w:val="auto"/>
        </w:rPr>
        <w:t>law, such disputes shall be determined in accordance with the law as it would be interpreted and applied by the United States Court of Appeals for the Ninth Circuit.</w:t>
      </w:r>
    </w:p>
    <w:p>
      <w:pPr>
        <w:spacing w:after="0" w:line="157" w:lineRule="exact"/>
        <w:rPr>
          <w:sz w:val="20"/>
          <w:szCs w:val="20"/>
          <w:color w:val="auto"/>
        </w:rPr>
      </w:pPr>
    </w:p>
    <w:p>
      <w:pPr>
        <w:jc w:val="both"/>
        <w:ind w:left="504" w:right="100" w:hanging="504"/>
        <w:spacing w:after="0" w:line="307" w:lineRule="auto"/>
        <w:tabs>
          <w:tab w:leader="none" w:pos="5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when so executed and delivered shall be taken to be an original; but such counterparts shall together constitute one and the same document.</w:t>
      </w:r>
    </w:p>
    <w:p>
      <w:pPr>
        <w:spacing w:after="0" w:line="140"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777240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232"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IN WITNESS WHEREOF, the parties have executive this Amendment effective on the Effective Date.</w:t>
      </w:r>
    </w:p>
    <w:p>
      <w:pPr>
        <w:spacing w:after="0" w:line="2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AMYLYX PHARMACEUTICALS, INC.</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340" w:type="dxa"/>
            <w:vAlign w:val="bottom"/>
            <w:gridSpan w:val="2"/>
          </w:tcPr>
          <w:p>
            <w:pPr>
              <w:ind w:left="5180"/>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tcPr>
          <w:p>
            <w:pPr>
              <w:jc w:val="center"/>
              <w:ind w:right="1192"/>
              <w:spacing w:after="0"/>
              <w:rPr>
                <w:sz w:val="20"/>
                <w:szCs w:val="20"/>
                <w:color w:val="auto"/>
              </w:rPr>
            </w:pPr>
            <w:r>
              <w:rPr>
                <w:rFonts w:ascii="Times New Roman" w:cs="Times New Roman" w:eastAsia="Times New Roman" w:hAnsi="Times New Roman"/>
                <w:sz w:val="22"/>
                <w:szCs w:val="22"/>
                <w:color w:val="auto"/>
                <w:w w:val="98"/>
              </w:rPr>
              <w:t>/s/ Joshua B. Cohen</w:t>
            </w:r>
          </w:p>
        </w:tc>
      </w:tr>
      <w:tr>
        <w:trPr>
          <w:trHeight w:val="219"/>
        </w:trPr>
        <w:tc>
          <w:tcPr>
            <w:tcW w:w="604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tcPr>
          <w:p>
            <w:pPr>
              <w:jc w:val="center"/>
              <w:ind w:right="1192"/>
              <w:spacing w:after="0" w:line="219" w:lineRule="exact"/>
              <w:rPr>
                <w:sz w:val="20"/>
                <w:szCs w:val="20"/>
                <w:color w:val="auto"/>
              </w:rPr>
            </w:pPr>
            <w:r>
              <w:rPr>
                <w:rFonts w:ascii="Times New Roman" w:cs="Times New Roman" w:eastAsia="Times New Roman" w:hAnsi="Times New Roman"/>
                <w:sz w:val="22"/>
                <w:szCs w:val="22"/>
                <w:b w:val="1"/>
                <w:bCs w:val="1"/>
                <w:color w:val="auto"/>
                <w:w w:val="98"/>
              </w:rPr>
              <w:t>Joshua B. Cohen</w:t>
            </w:r>
          </w:p>
        </w:tc>
      </w:tr>
      <w:tr>
        <w:trPr>
          <w:trHeight w:val="286"/>
        </w:trPr>
        <w:tc>
          <w:tcPr>
            <w:tcW w:w="6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900" w:type="dxa"/>
            <w:vAlign w:val="bottom"/>
          </w:tcPr>
          <w:p>
            <w:pPr>
              <w:jc w:val="center"/>
              <w:ind w:right="1192"/>
              <w:spacing w:after="0"/>
              <w:rPr>
                <w:sz w:val="20"/>
                <w:szCs w:val="20"/>
                <w:color w:val="auto"/>
              </w:rPr>
            </w:pPr>
            <w:r>
              <w:rPr>
                <w:rFonts w:ascii="Times New Roman" w:cs="Times New Roman" w:eastAsia="Times New Roman" w:hAnsi="Times New Roman"/>
                <w:sz w:val="22"/>
                <w:szCs w:val="22"/>
                <w:b w:val="1"/>
                <w:bCs w:val="1"/>
                <w:color w:val="auto"/>
                <w:w w:val="97"/>
              </w:rPr>
              <w:t>President and Co-CEO</w:t>
            </w:r>
          </w:p>
        </w:tc>
      </w:tr>
      <w:tr>
        <w:trPr>
          <w:trHeight w:val="512"/>
        </w:trPr>
        <w:tc>
          <w:tcPr>
            <w:tcW w:w="7340" w:type="dxa"/>
            <w:vAlign w:val="bottom"/>
            <w:gridSpan w:val="2"/>
          </w:tcPr>
          <w:p>
            <w:pPr>
              <w:ind w:left="5180"/>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3900" w:type="dxa"/>
            <w:vAlign w:val="bottom"/>
          </w:tcPr>
          <w:p>
            <w:pPr>
              <w:spacing w:after="0"/>
              <w:rPr>
                <w:sz w:val="24"/>
                <w:szCs w:val="24"/>
                <w:color w:val="auto"/>
              </w:rPr>
            </w:pPr>
          </w:p>
        </w:tc>
      </w:tr>
      <w:tr>
        <w:trPr>
          <w:trHeight w:val="514"/>
        </w:trPr>
        <w:tc>
          <w:tcPr>
            <w:tcW w:w="7340" w:type="dxa"/>
            <w:vAlign w:val="bottom"/>
            <w:gridSpan w:val="2"/>
          </w:tcPr>
          <w:p>
            <w:pPr>
              <w:ind w:left="5180"/>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7"/>
              </w:rPr>
              <w:t>/s/ Camille L. Bedrosian</w:t>
            </w:r>
          </w:p>
        </w:tc>
      </w:tr>
      <w:tr>
        <w:trPr>
          <w:trHeight w:val="276"/>
        </w:trPr>
        <w:tc>
          <w:tcPr>
            <w:tcW w:w="604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3900" w:type="dxa"/>
            <w:vAlign w:val="bottom"/>
            <w:tcBorders>
              <w:top w:val="single" w:sz="8" w:color="auto"/>
            </w:tcBorders>
          </w:tcPr>
          <w:p>
            <w:pPr>
              <w:jc w:val="center"/>
              <w:ind w:right="1252"/>
              <w:spacing w:after="0"/>
              <w:rPr>
                <w:sz w:val="20"/>
                <w:szCs w:val="20"/>
                <w:color w:val="auto"/>
              </w:rPr>
            </w:pPr>
            <w:r>
              <w:rPr>
                <w:rFonts w:ascii="Times New Roman" w:cs="Times New Roman" w:eastAsia="Times New Roman" w:hAnsi="Times New Roman"/>
                <w:sz w:val="22"/>
                <w:szCs w:val="22"/>
                <w:color w:val="auto"/>
                <w:w w:val="98"/>
              </w:rPr>
              <w:t>Camille L. Bedrosian</w:t>
            </w:r>
          </w:p>
        </w:tc>
      </w:tr>
      <w:tr>
        <w:trPr>
          <w:trHeight w:val="485"/>
        </w:trPr>
        <w:tc>
          <w:tcPr>
            <w:tcW w:w="60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Nov 3, 2023</w:t>
            </w:r>
          </w:p>
        </w:tc>
        <w:tc>
          <w:tcPr>
            <w:tcW w:w="3900" w:type="dxa"/>
            <w:vAlign w:val="bottom"/>
          </w:tcPr>
          <w:p>
            <w:pPr>
              <w:spacing w:after="0"/>
              <w:rPr>
                <w:sz w:val="24"/>
                <w:szCs w:val="24"/>
                <w:color w:val="auto"/>
              </w:rPr>
            </w:pPr>
          </w:p>
        </w:tc>
      </w:tr>
      <w:tr>
        <w:trPr>
          <w:trHeight w:val="1235"/>
        </w:trPr>
        <w:tc>
          <w:tcPr>
            <w:tcW w:w="60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657225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28" w:right="1440" w:bottom="1440" w:gutter="0" w:footer="0" w:header="0"/>
        </w:sectPr>
      </w:pPr>
    </w:p>
    <w:bookmarkStart w:id="193" w:name="page194"/>
    <w:bookmarkEnd w:id="193"/>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Employee Confidentiality, Assignment and Nonsolicitation Agreement</w:t>
      </w:r>
    </w:p>
    <w:p>
      <w:pPr>
        <w:spacing w:after="0" w:line="209"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In consideration and as a condition of my employment by Amylyx Pharmaceuticals, Inc. (“Amylyx, and with Amylyx’s subsidiaries and other affiliates and its and their successors and assigns, the “Company”) and in exchange for, among other things, my eligibility for certain severance benefits as provided for in my employment agreement with Amylyx (the “Employment Agreement”), which I acknowledge and agree is fair and reasonable consideration which is independent from the continuation of my employment, I enter into this Employee Confidentiality, Assignment and Nonsolicitation Agreement (this “Agreement”), the effectiveness which is subject to my Employment Agreement referenced above becoming effective, and agree as follows:</w:t>
      </w:r>
    </w:p>
    <w:p>
      <w:pPr>
        <w:spacing w:after="0" w:line="177" w:lineRule="exact"/>
        <w:rPr>
          <w:sz w:val="20"/>
          <w:szCs w:val="20"/>
          <w:color w:val="auto"/>
        </w:rPr>
      </w:pPr>
    </w:p>
    <w:p>
      <w:pPr>
        <w:ind w:firstLine="8"/>
        <w:spacing w:after="0" w:line="233" w:lineRule="auto"/>
        <w:tabs>
          <w:tab w:leader="none" w:pos="43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Proprietary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agree that all information, whether or not in writing, concerning the Company’s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business relationships or financial affairs that the Company has not released to the general public (collectively, “</w:t>
      </w: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Times New Roman" w:cs="Times New Roman" w:eastAsia="Times New Roman" w:hAnsi="Times New Roman"/>
          <w:sz w:val="22"/>
          <w:szCs w:val="22"/>
          <w:i w:val="1"/>
          <w:iCs w:val="1"/>
          <w:color w:val="auto"/>
        </w:rPr>
        <w:t>corporate information</w:t>
      </w:r>
      <w:r>
        <w:rPr>
          <w:rFonts w:ascii="Times New Roman" w:cs="Times New Roman" w:eastAsia="Times New Roman" w:hAnsi="Times New Roman"/>
          <w:sz w:val="22"/>
          <w:szCs w:val="22"/>
          <w:color w:val="auto"/>
        </w:rPr>
        <w:t xml:space="preserve">, including plans, strategies, methods, policies, resolutions, negotiations or litigation; (b) </w:t>
      </w:r>
      <w:r>
        <w:rPr>
          <w:rFonts w:ascii="Times New Roman" w:cs="Times New Roman" w:eastAsia="Times New Roman" w:hAnsi="Times New Roman"/>
          <w:sz w:val="22"/>
          <w:szCs w:val="22"/>
          <w:i w:val="1"/>
          <w:iCs w:val="1"/>
          <w:color w:val="auto"/>
        </w:rPr>
        <w:t>marketing information</w:t>
      </w:r>
      <w:r>
        <w:rPr>
          <w:rFonts w:ascii="Times New Roman" w:cs="Times New Roman" w:eastAsia="Times New Roman" w:hAnsi="Times New Roman"/>
          <w:sz w:val="22"/>
          <w:szCs w:val="22"/>
          <w:color w:val="auto"/>
        </w:rPr>
        <w:t>, including strategies, methods, customer or business partner identities or other information about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customers, business partners, prospect identities or other information about prospects, or market analyses or projections; (c) </w:t>
      </w:r>
      <w:r>
        <w:rPr>
          <w:rFonts w:ascii="Times New Roman" w:cs="Times New Roman" w:eastAsia="Times New Roman" w:hAnsi="Times New Roman"/>
          <w:sz w:val="22"/>
          <w:szCs w:val="22"/>
          <w:i w:val="1"/>
          <w:iCs w:val="1"/>
          <w:color w:val="auto"/>
        </w:rPr>
        <w:t>financial information</w:t>
      </w:r>
      <w:r>
        <w:rPr>
          <w:rFonts w:ascii="Times New Roman" w:cs="Times New Roman" w:eastAsia="Times New Roman" w:hAnsi="Times New Roman"/>
          <w:sz w:val="22"/>
          <w:szCs w:val="22"/>
          <w:color w:val="auto"/>
        </w:rPr>
        <w:t>, including cost and performance data, debt arrangements, equity structure, investors and holdings,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purchasing and sales data and price lists; (d) </w:t>
      </w:r>
      <w:r>
        <w:rPr>
          <w:rFonts w:ascii="Times New Roman" w:cs="Times New Roman" w:eastAsia="Times New Roman" w:hAnsi="Times New Roman"/>
          <w:sz w:val="22"/>
          <w:szCs w:val="22"/>
          <w:i w:val="1"/>
          <w:iCs w:val="1"/>
          <w:color w:val="auto"/>
        </w:rPr>
        <w:t>scientific information</w:t>
      </w:r>
      <w:r>
        <w:rPr>
          <w:rFonts w:ascii="Times New Roman" w:cs="Times New Roman" w:eastAsia="Times New Roman" w:hAnsi="Times New Roman"/>
          <w:sz w:val="22"/>
          <w:szCs w:val="22"/>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know-how and trade secrets, and other Developments (as defined below); and (e) </w:t>
      </w:r>
      <w:r>
        <w:rPr>
          <w:rFonts w:ascii="Times New Roman" w:cs="Times New Roman" w:eastAsia="Times New Roman" w:hAnsi="Times New Roman"/>
          <w:sz w:val="22"/>
          <w:szCs w:val="22"/>
          <w:i w:val="1"/>
          <w:iCs w:val="1"/>
          <w:color w:val="auto"/>
        </w:rPr>
        <w:t>personnel information</w:t>
      </w:r>
      <w:r>
        <w:rPr>
          <w:rFonts w:ascii="Times New Roman" w:cs="Times New Roman" w:eastAsia="Times New Roman" w:hAnsi="Times New Roman"/>
          <w:sz w:val="22"/>
          <w:szCs w:val="22"/>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72" w:lineRule="exact"/>
        <w:rPr>
          <w:rFonts w:ascii="Times New Roman" w:cs="Times New Roman" w:eastAsia="Times New Roman" w:hAnsi="Times New Roman"/>
          <w:sz w:val="22"/>
          <w:szCs w:val="22"/>
          <w:b w:val="1"/>
          <w:bCs w:val="1"/>
          <w:color w:val="auto"/>
        </w:rPr>
      </w:pPr>
    </w:p>
    <w:p>
      <w:pPr>
        <w:ind w:right="40" w:firstLine="8"/>
        <w:spacing w:after="0" w:line="237" w:lineRule="auto"/>
        <w:tabs>
          <w:tab w:leader="none" w:pos="43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Recognition of Company’s Rights</w:t>
      </w:r>
      <w:r>
        <w:rPr>
          <w:rFonts w:ascii="Times New Roman" w:cs="Times New Roman" w:eastAsia="Times New Roman" w:hAnsi="Times New Roman"/>
          <w:sz w:val="22"/>
          <w:szCs w:val="22"/>
          <w:color w:val="auto"/>
        </w:rPr>
        <w:t>. I will not, at any time, without the Company’s prior written permission, either during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my employment, disclose any Proprietary Information to anyone outside of the Company, or use or permit to be used any Proprietary Information for any purpose other than the performance of my duties as an employee of the Company. I will cooperate with the Company and use my best efforts to prevent the unauthorized disclosure of all Proprietary Information. I will deliver to the Company all copies and other tangible embodiments of Proprietary Information in my possession or control upon the earlier of a request by the Company or termination of my employment.</w:t>
      </w:r>
    </w:p>
    <w:p>
      <w:pPr>
        <w:spacing w:after="0" w:line="173" w:lineRule="exact"/>
        <w:rPr>
          <w:rFonts w:ascii="Times New Roman" w:cs="Times New Roman" w:eastAsia="Times New Roman" w:hAnsi="Times New Roman"/>
          <w:sz w:val="22"/>
          <w:szCs w:val="22"/>
          <w:b w:val="1"/>
          <w:bCs w:val="1"/>
          <w:color w:val="auto"/>
        </w:rPr>
      </w:pPr>
    </w:p>
    <w:p>
      <w:pPr>
        <w:ind w:right="100" w:firstLine="8"/>
        <w:spacing w:after="0" w:line="265" w:lineRule="auto"/>
        <w:tabs>
          <w:tab w:leader="none" w:pos="432"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of Others</w:t>
      </w:r>
      <w:r>
        <w:rPr>
          <w:rFonts w:ascii="Times New Roman" w:cs="Times New Roman" w:eastAsia="Times New Roman" w:hAnsi="Times New Roman"/>
          <w:sz w:val="20"/>
          <w:szCs w:val="20"/>
          <w:color w:val="auto"/>
        </w:rPr>
        <w:t>. I understand that the Company is now and may hereafter be subject to nondisclosure or 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with third persons that require the Company to protect or refrain from use or disclosure of proprietary information. I agree to be bound by the terms of such agreements in the event I have access to such proprietary information. I understand that the Company strictly prohibits me from using or disclosing confidential or proprietary information belonging to any other person or entity (including any employer or former employer), in connection with my employment. In addition, I agree not to bring any confidential information belonging to any other person or entity onto Company premises or into Company workspaces.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94" w:name="page195"/>
    <w:bookmarkEnd w:id="194"/>
    <w:p>
      <w:pPr>
        <w:ind w:right="100" w:firstLine="8"/>
        <w:spacing w:after="0" w:line="237" w:lineRule="auto"/>
        <w:tabs>
          <w:tab w:leader="none" w:pos="43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Commitment to Company; Avoidance of Conflict of Interest</w:t>
      </w:r>
      <w:r>
        <w:rPr>
          <w:rFonts w:ascii="Times New Roman" w:cs="Times New Roman" w:eastAsia="Times New Roman" w:hAnsi="Times New Roman"/>
          <w:sz w:val="22"/>
          <w:szCs w:val="22"/>
          <w:color w:val="auto"/>
        </w:rPr>
        <w:t>. While an employee of the Company, I will devote my full-time efforts to the Company’s business and I will not, directly or indirectly, engage in any other business activity that is competitive with, or conflicts with, the Company’s business activity. I will advise an authorized officer of the Company or his or her designee at such time as any activity of either the Company or another business presents me with a conflict of interest or the appearance of a conflict of interest as an employee of the Company. I will take whatever action is requested of me by the Company to resolve any conflict or appearance of conflict which it finds to exist.</w:t>
      </w:r>
    </w:p>
    <w:p>
      <w:pPr>
        <w:spacing w:after="0" w:line="173" w:lineRule="exact"/>
        <w:rPr>
          <w:rFonts w:ascii="Times New Roman" w:cs="Times New Roman" w:eastAsia="Times New Roman" w:hAnsi="Times New Roman"/>
          <w:sz w:val="22"/>
          <w:szCs w:val="22"/>
          <w:b w:val="1"/>
          <w:bCs w:val="1"/>
          <w:color w:val="auto"/>
        </w:rPr>
      </w:pPr>
    </w:p>
    <w:p>
      <w:pPr>
        <w:ind w:firstLine="8"/>
        <w:spacing w:after="0" w:line="233" w:lineRule="auto"/>
        <w:tabs>
          <w:tab w:leader="none" w:pos="43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Developments</w:t>
      </w:r>
      <w:r>
        <w:rPr>
          <w:rFonts w:ascii="Times New Roman" w:cs="Times New Roman" w:eastAsia="Times New Roman" w:hAnsi="Times New Roman"/>
          <w:sz w:val="22"/>
          <w:szCs w:val="22"/>
          <w:color w:val="auto"/>
        </w:rPr>
        <w:t>. I will make full and prompt disclosure to the Company of all inventions, discoveries, designs, developments,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methods, modifications, improvements, processes, algorithms, data, databases, computer programs, research, formulae, techniques, trade secrets, graphics or images, and audio or visual works and other works of authorship, and other intellectual property, including works-in-process (collectively “Developments”) whether or not patentable or copyrightable, that are created, made, conceived or reduced to practice by me (alone or jointly with others) or under my direction during the period of my employment. I acknowledge that all work performed by me is on a “work for hire” basis, and I hereby do assign and transfer and, to the extent any such assignment cannot be made at present, will assign and transfer, to the Employing Company (as defined below) and its successors and assigns all my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me by the Company; or (c) result from the use of premises or personal property (whether tangible or intangible) owned, leased or contracted for by the Company (“Company-Related Developments”), and all related patents, patent applications, trademarks and trademark applications, copyrights and copyright applications, sui generis database rights and other intellectual property rights in all countries and territories worldwide and under any international conventions (“Intellectual Property Rights”).</w:t>
      </w:r>
    </w:p>
    <w:p>
      <w:pPr>
        <w:spacing w:after="0" w:line="176"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To preclude any possible uncertainty, if there are any Developments that I have, alone or jointly with others, conceived, developed or reduced to practice prior to the commencement of my employment with the Company that I consider to be my property or the property of third parties and that I wish to have excluded from the scope of this Agreement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xml:space="preserve">”), I have set forth on Exhibit A attached hereto a complete list of those Prior Inventions. If disclosure of any such Prior Invention would cause me to violate any prior confidentiality agreement, I understand that I am not to list such Prior Inventions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but am only to disclose a cursory name for each such invention, a listing of the party(ies) to whom it belongs and the fact that full disclosure as to such inventions has not been made for that reason. If there are any patents or patent applications in which I am named as an inventor, other than those that have been assigned to the Company (“</w:t>
      </w:r>
      <w:r>
        <w:rPr>
          <w:rFonts w:ascii="Times New Roman" w:cs="Times New Roman" w:eastAsia="Times New Roman" w:hAnsi="Times New Roman"/>
          <w:sz w:val="22"/>
          <w:szCs w:val="22"/>
          <w:u w:val="single" w:color="auto"/>
          <w:color w:val="auto"/>
        </w:rPr>
        <w:t>Other Patent Rights</w:t>
      </w:r>
      <w:r>
        <w:rPr>
          <w:rFonts w:ascii="Times New Roman" w:cs="Times New Roman" w:eastAsia="Times New Roman" w:hAnsi="Times New Roman"/>
          <w:sz w:val="22"/>
          <w:szCs w:val="22"/>
          <w:color w:val="auto"/>
        </w:rPr>
        <w:t>”), I have also listed those Other Patent Rights on Exhibit A. If no such disclosure is attached, I represent that there are no Prior Inventions or Other Patent Rights. If, in the course of my employment with the Company, I incorporate a Prior Invention into a Company product, process or machine, research or development program, or other work done for the Company, I hereby grant to the Company a nonexclusive, royalty-free, fully paid-up, irrevocable, worldwide license (with the full right to sublicense directly and indirectly through multiple tiers) to make, have made, modify, use, sell, offer for sale and import such Prior Invention. Notwithstanding the foregoing, I will not incorporate, or permit to be incorporated, Prior Inventions in any Company-Related Development without the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95" w:name="page196"/>
    <w:bookmarkEnd w:id="195"/>
    <w:p>
      <w:pPr>
        <w:spacing w:after="0" w:line="233" w:lineRule="auto"/>
        <w:rPr>
          <w:sz w:val="20"/>
          <w:szCs w:val="20"/>
          <w:color w:val="auto"/>
        </w:rPr>
      </w:pPr>
      <w:r>
        <w:rPr>
          <w:rFonts w:ascii="Times New Roman" w:cs="Times New Roman" w:eastAsia="Times New Roman" w:hAnsi="Times New Roman"/>
          <w:sz w:val="22"/>
          <w:szCs w:val="22"/>
          <w:color w:val="auto"/>
        </w:rPr>
        <w:t xml:space="preserve">This Agreement does not obligate me to assign to the Employing Company any Development that, in the sole judgment of the Company, reasonably exercised, is developed entirely on my own time and does not relate to the business efforts or research and development efforts in which, during the period of my employment, the Company actually is engaged or reasonably would be engaged, and does not result from the use of premises or equipment owned or leased by the Company. However, I will also promptly disclose to the Company any such Developments for the purpose of determining whether they qualify for such exclusion. I understand that to the extent this Agreement is required to be construed in accordance with the laws of any state which precludes a requirement in an employee agreement to assign certain classes of inventions made by an employee (including, without limitation, pursuant to the applicable statutory provision for my state of employment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if any), this Section 5 will be interpreted not to apply to any invention that a court rules and/or the Company agrees falls within such classes. I also hereby waive all claims to any moral rights or other special rights that I may have or accrue in any Company-Related Developments.</w:t>
      </w:r>
    </w:p>
    <w:p>
      <w:pPr>
        <w:spacing w:after="0" w:line="18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For the purposes of this Section 5, the term “</w:t>
      </w:r>
      <w:r>
        <w:rPr>
          <w:rFonts w:ascii="Times New Roman" w:cs="Times New Roman" w:eastAsia="Times New Roman" w:hAnsi="Times New Roman"/>
          <w:sz w:val="22"/>
          <w:szCs w:val="22"/>
          <w:u w:val="single" w:color="auto"/>
          <w:color w:val="auto"/>
        </w:rPr>
        <w:t>Employing Company</w:t>
      </w:r>
      <w:r>
        <w:rPr>
          <w:rFonts w:ascii="Times New Roman" w:cs="Times New Roman" w:eastAsia="Times New Roman" w:hAnsi="Times New Roman"/>
          <w:sz w:val="22"/>
          <w:szCs w:val="22"/>
          <w:color w:val="auto"/>
        </w:rPr>
        <w:t>” means the entity employing me at the time that the applicable Development is created, made, conceived or reduced to practice. If I am jointly employed by two or more entities at such time, the Employing Company means the entity that is the primary employer.</w:t>
      </w:r>
    </w:p>
    <w:p>
      <w:pPr>
        <w:spacing w:after="0" w:line="168" w:lineRule="exact"/>
        <w:rPr>
          <w:sz w:val="20"/>
          <w:szCs w:val="20"/>
          <w:color w:val="auto"/>
        </w:rPr>
      </w:pPr>
    </w:p>
    <w:p>
      <w:pPr>
        <w:ind w:right="80" w:firstLine="8"/>
        <w:spacing w:after="0" w:line="246" w:lineRule="auto"/>
        <w:tabs>
          <w:tab w:leader="none" w:pos="432"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Documents and Other Materials</w:t>
      </w:r>
      <w:r>
        <w:rPr>
          <w:rFonts w:ascii="Times New Roman" w:cs="Times New Roman" w:eastAsia="Times New Roman" w:hAnsi="Times New Roman"/>
          <w:sz w:val="22"/>
          <w:szCs w:val="22"/>
          <w:color w:val="auto"/>
        </w:rPr>
        <w:t>. I will keep and maintain adequate and current records of all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Company-Related Developments developed by me during my employment, which records will be available to and remain the sole property of the Company at all times.</w:t>
      </w:r>
    </w:p>
    <w:p>
      <w:pPr>
        <w:spacing w:after="0" w:line="1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Subject to Section 5, 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me or others, which come into my custody or possession, are the exclusive property of the Company to be used by me only in the performance of my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my employment for any reason, I will deliver to the Company all Company property and equipment in my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my possession any of the foregoing or any copies.</w:t>
      </w:r>
    </w:p>
    <w:p>
      <w:pPr>
        <w:spacing w:after="0" w:line="177" w:lineRule="exact"/>
        <w:rPr>
          <w:sz w:val="20"/>
          <w:szCs w:val="20"/>
          <w:color w:val="auto"/>
        </w:rPr>
      </w:pPr>
    </w:p>
    <w:p>
      <w:pPr>
        <w:ind w:right="60" w:firstLine="8"/>
        <w:spacing w:after="0" w:line="236" w:lineRule="auto"/>
        <w:tabs>
          <w:tab w:leader="none" w:pos="43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Enforcement of Intellectual Property Rights</w:t>
      </w:r>
      <w:r>
        <w:rPr>
          <w:rFonts w:ascii="Times New Roman" w:cs="Times New Roman" w:eastAsia="Times New Roman" w:hAnsi="Times New Roman"/>
          <w:sz w:val="22"/>
          <w:szCs w:val="22"/>
          <w:color w:val="auto"/>
        </w:rPr>
        <w:t>. I will cooperate fully with the Company, both during and after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with respect to the procurement, maintenance and enforcement of Intellectual Property Rights in Company-Related Developments. I will sign, both during and after my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related Intellectual Property Rights. If the Company is unable, after reasonable effort, to secure my signature on any such papers, I hereby irrevocably designate and appoint each officer of the Company as my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196" w:name="page197"/>
    <w:bookmarkEnd w:id="196"/>
    <w:p>
      <w:pPr>
        <w:ind w:right="280"/>
        <w:spacing w:after="0" w:line="244" w:lineRule="auto"/>
        <w:rPr>
          <w:sz w:val="20"/>
          <w:szCs w:val="20"/>
          <w:color w:val="auto"/>
        </w:rPr>
      </w:pPr>
      <w:r>
        <w:rPr>
          <w:rFonts w:ascii="Times New Roman" w:cs="Times New Roman" w:eastAsia="Times New Roman" w:hAnsi="Times New Roman"/>
          <w:sz w:val="22"/>
          <w:szCs w:val="22"/>
          <w:color w:val="auto"/>
        </w:rPr>
        <w:t>and attorney-in-fact to execute any such papers on my behalf, and to take any and all actions as the Company may deem necessary or desirable in order to protect its rights and interests in any Company-Related Development and related Intellectual Property Rights.</w:t>
      </w:r>
    </w:p>
    <w:p>
      <w:pPr>
        <w:spacing w:after="0" w:line="168" w:lineRule="exact"/>
        <w:rPr>
          <w:sz w:val="20"/>
          <w:szCs w:val="20"/>
          <w:color w:val="auto"/>
        </w:rPr>
      </w:pPr>
    </w:p>
    <w:p>
      <w:pPr>
        <w:ind w:right="100" w:firstLine="8"/>
        <w:spacing w:after="0" w:line="238" w:lineRule="auto"/>
        <w:tabs>
          <w:tab w:leader="none" w:pos="432"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In order to protect the Company’s Proprietary Information and goodwill, during my employment and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one (1) year following the date of the cessation of my employment with the Company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I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74" w:lineRule="exact"/>
        <w:rPr>
          <w:rFonts w:ascii="Times New Roman" w:cs="Times New Roman" w:eastAsia="Times New Roman" w:hAnsi="Times New Roman"/>
          <w:sz w:val="22"/>
          <w:szCs w:val="22"/>
          <w:b w:val="1"/>
          <w:bCs w:val="1"/>
          <w:color w:val="auto"/>
        </w:rPr>
      </w:pPr>
    </w:p>
    <w:p>
      <w:pPr>
        <w:ind w:right="60" w:firstLine="8"/>
        <w:spacing w:after="0" w:line="265" w:lineRule="auto"/>
        <w:tabs>
          <w:tab w:leader="none" w:pos="432"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Government Contracts</w:t>
      </w:r>
      <w:r>
        <w:rPr>
          <w:rFonts w:ascii="Times New Roman" w:cs="Times New Roman" w:eastAsia="Times New Roman" w:hAnsi="Times New Roman"/>
          <w:sz w:val="20"/>
          <w:szCs w:val="20"/>
          <w:color w:val="auto"/>
        </w:rPr>
        <w:t>. I acknowledge that the Company may have from time to time agreements with other persons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United States Government or its agencies that impose obligations or restrictions on the Company regarding inventions made during the course of work under such agreements or regarding the confidential nature of such work. I agree to comply with any such obligations or restrictions upon the direction of the Company. In addition to the rights assigned under Section 5, I also assign to the Company (or any of its nominees) all rights that I have or acquired in any Developments, full title to which is required to be in the United States under any contract between the Company and the United States or any of its agencies.</w:t>
      </w:r>
    </w:p>
    <w:p>
      <w:pPr>
        <w:spacing w:after="0" w:line="148" w:lineRule="exact"/>
        <w:rPr>
          <w:rFonts w:ascii="Times New Roman" w:cs="Times New Roman" w:eastAsia="Times New Roman" w:hAnsi="Times New Roman"/>
          <w:sz w:val="20"/>
          <w:szCs w:val="20"/>
          <w:b w:val="1"/>
          <w:bCs w:val="1"/>
          <w:color w:val="auto"/>
        </w:rPr>
      </w:pPr>
    </w:p>
    <w:p>
      <w:pPr>
        <w:ind w:right="20" w:firstLine="8"/>
        <w:spacing w:after="0" w:line="235" w:lineRule="auto"/>
        <w:tabs>
          <w:tab w:leader="none" w:pos="432"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Prior Agreements</w:t>
      </w:r>
      <w:r>
        <w:rPr>
          <w:rFonts w:ascii="Times New Roman" w:cs="Times New Roman" w:eastAsia="Times New Roman" w:hAnsi="Times New Roman"/>
          <w:sz w:val="22"/>
          <w:szCs w:val="22"/>
          <w:color w:val="auto"/>
        </w:rPr>
        <w:t>. I hereby represent that, except as I have fully disclosed previously in writing to the Company, I am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bound by the terms of any agreement with any previous or current employer or other party to refrain from using or disclosing any trade secret or confidential or proprietary information in the course of my employment with the Company or to refrain from competing, directly or indirectly, with the business of such employer or any other party. I further represent that my performance of all the terms of this Agreement as an employee of the Company does not and will not breach any agreement to keep in confidence proprietary information, knowledge or data acquired by me in confidence or in trust prior to my employment with the Company. I will not disclose to the Company or induce the Company to use any confidential or proprietary information or material belonging to any previous employer or others.</w:t>
      </w:r>
    </w:p>
    <w:p>
      <w:pPr>
        <w:spacing w:after="0" w:line="175" w:lineRule="exact"/>
        <w:rPr>
          <w:rFonts w:ascii="Times New Roman" w:cs="Times New Roman" w:eastAsia="Times New Roman" w:hAnsi="Times New Roman"/>
          <w:sz w:val="22"/>
          <w:szCs w:val="22"/>
          <w:b w:val="1"/>
          <w:bCs w:val="1"/>
          <w:color w:val="auto"/>
        </w:rPr>
      </w:pPr>
    </w:p>
    <w:p>
      <w:pPr>
        <w:ind w:right="80" w:firstLine="8"/>
        <w:spacing w:after="0" w:line="235" w:lineRule="auto"/>
        <w:tabs>
          <w:tab w:leader="none" w:pos="431"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 Upon Breach</w:t>
      </w:r>
      <w:r>
        <w:rPr>
          <w:rFonts w:ascii="Times New Roman" w:cs="Times New Roman" w:eastAsia="Times New Roman" w:hAnsi="Times New Roman"/>
          <w:sz w:val="22"/>
          <w:szCs w:val="22"/>
          <w:color w:val="auto"/>
        </w:rPr>
        <w:t>. I understand that the restrictions contained in this Agreement are necessary for the protection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business and goodwill 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 without the posting of a bond. I further acknowledge that a court may render an award extending the Restricted Period as one of the remedies in the event of my violation of this Agreement. If I violate this Agreement, in addition to all other remedies available to the Company at law, in equity, and under contract, I agree that I am obligated to pay all the Company’s costs of enforcement of this Agreement, including reasonable attorneys’ fees and expenses.</w:t>
      </w:r>
    </w:p>
    <w:p>
      <w:pPr>
        <w:spacing w:after="0" w:line="175" w:lineRule="exact"/>
        <w:rPr>
          <w:rFonts w:ascii="Times New Roman" w:cs="Times New Roman" w:eastAsia="Times New Roman" w:hAnsi="Times New Roman"/>
          <w:sz w:val="22"/>
          <w:szCs w:val="22"/>
          <w:b w:val="1"/>
          <w:bCs w:val="1"/>
          <w:color w:val="auto"/>
        </w:rPr>
      </w:pPr>
    </w:p>
    <w:p>
      <w:pPr>
        <w:ind w:firstLine="8"/>
        <w:spacing w:after="0"/>
        <w:tabs>
          <w:tab w:leader="none" w:pos="432"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Use of Voice, Image and Likeness</w:t>
      </w:r>
      <w:r>
        <w:rPr>
          <w:rFonts w:ascii="Times New Roman" w:cs="Times New Roman" w:eastAsia="Times New Roman" w:hAnsi="Times New Roman"/>
          <w:sz w:val="22"/>
          <w:szCs w:val="22"/>
          <w:color w:val="auto"/>
        </w:rPr>
        <w:t>. I give the Company permission to use any and all of my voice, image and likeness,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without using my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2" w:right="379" w:bottom="1440" w:gutter="0" w:footer="0" w:header="0"/>
        </w:sectPr>
      </w:pPr>
    </w:p>
    <w:bookmarkStart w:id="197" w:name="page198"/>
    <w:bookmarkEnd w:id="197"/>
    <w:p>
      <w:pPr>
        <w:ind w:left="-8" w:right="220" w:firstLine="8"/>
        <w:spacing w:after="0"/>
        <w:tabs>
          <w:tab w:leader="none" w:pos="4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Employment Obligation</w:t>
      </w:r>
      <w:r>
        <w:rPr>
          <w:rFonts w:ascii="Times New Roman" w:cs="Times New Roman" w:eastAsia="Times New Roman" w:hAnsi="Times New Roman"/>
          <w:sz w:val="22"/>
          <w:szCs w:val="22"/>
          <w:color w:val="auto"/>
        </w:rPr>
        <w:t>. I understand that this Agreement does not create an obligation on the Company or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to continue my employment. I acknowledge that, unless otherwise agreed in a formal written employment agreement signed on behalf of the Company by an authorized officer, my employment with the Company is at will and therefore may be terminated by the Company or me at any time and for any reason, with or without cause.</w:t>
      </w:r>
    </w:p>
    <w:p>
      <w:pPr>
        <w:spacing w:after="0" w:line="174" w:lineRule="exact"/>
        <w:rPr>
          <w:rFonts w:ascii="Times New Roman" w:cs="Times New Roman" w:eastAsia="Times New Roman" w:hAnsi="Times New Roman"/>
          <w:sz w:val="22"/>
          <w:szCs w:val="22"/>
          <w:b w:val="1"/>
          <w:bCs w:val="1"/>
          <w:color w:val="auto"/>
        </w:rPr>
      </w:pPr>
    </w:p>
    <w:p>
      <w:pPr>
        <w:ind w:left="-8" w:right="80" w:firstLine="8"/>
        <w:spacing w:after="0" w:line="263" w:lineRule="auto"/>
        <w:tabs>
          <w:tab w:leader="none" w:pos="424"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Survival and Assignment by the Company</w:t>
      </w:r>
      <w:r>
        <w:rPr>
          <w:rFonts w:ascii="Times New Roman" w:cs="Times New Roman" w:eastAsia="Times New Roman" w:hAnsi="Times New Roman"/>
          <w:sz w:val="20"/>
          <w:szCs w:val="20"/>
          <w:color w:val="auto"/>
        </w:rPr>
        <w:t>. I understand that my obligations under this Agreement will continue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its express terms regardless of any changes in my title, position, duties, salary, compensation or benefits or other terms and conditions of employment. I further understand that my obligations under this 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w:t>
      </w:r>
    </w:p>
    <w:p>
      <w:pPr>
        <w:spacing w:after="0" w:line="150" w:lineRule="exact"/>
        <w:rPr>
          <w:rFonts w:ascii="Times New Roman" w:cs="Times New Roman" w:eastAsia="Times New Roman" w:hAnsi="Times New Roman"/>
          <w:sz w:val="20"/>
          <w:szCs w:val="20"/>
          <w:b w:val="1"/>
          <w:bCs w:val="1"/>
          <w:color w:val="auto"/>
        </w:rPr>
      </w:pPr>
    </w:p>
    <w:p>
      <w:pPr>
        <w:ind w:left="-8" w:right="40" w:firstLine="8"/>
        <w:spacing w:after="0" w:line="235" w:lineRule="auto"/>
        <w:tabs>
          <w:tab w:leader="none" w:pos="4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Resignation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I elect to resign from my employment with the Company, I agree to provide the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notification of my resignation at least two (2) weeks prior to my intended resignation date. Such notice shall include information in reasonable detail about my post-employment job duties and other business activities, including the name and address of any subsequent employer and/or person or entity with whom or which I intend to engage in business activities during the Restricted Period and the nature of my job duties and other business activities. The Company may elect to waive all or part of the two (2) week notice period in its sole discretion, and such waiver shall not result in a termination by the Company for purposes of this Agreement or any other agreement I may have with the Company, including, without limitation, the Employment Agreement.</w:t>
      </w:r>
    </w:p>
    <w:p>
      <w:pPr>
        <w:spacing w:after="0" w:line="175" w:lineRule="exact"/>
        <w:rPr>
          <w:rFonts w:ascii="Times New Roman" w:cs="Times New Roman" w:eastAsia="Times New Roman" w:hAnsi="Times New Roman"/>
          <w:sz w:val="22"/>
          <w:szCs w:val="22"/>
          <w:b w:val="1"/>
          <w:bCs w:val="1"/>
          <w:color w:val="auto"/>
        </w:rPr>
      </w:pPr>
    </w:p>
    <w:p>
      <w:pPr>
        <w:ind w:left="-8" w:right="100" w:firstLine="8"/>
        <w:spacing w:after="0" w:line="246" w:lineRule="auto"/>
        <w:tabs>
          <w:tab w:leader="none" w:pos="4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Post-Employment Notifications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Restricted Period, I will notify the Company of any change in my address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each subsequent employment or business activity, including the name and address of my employer or other post-Company employment plans and the nature of my activities.</w:t>
      </w:r>
    </w:p>
    <w:p>
      <w:pPr>
        <w:spacing w:after="0" w:line="165" w:lineRule="exact"/>
        <w:rPr>
          <w:rFonts w:ascii="Times New Roman" w:cs="Times New Roman" w:eastAsia="Times New Roman" w:hAnsi="Times New Roman"/>
          <w:sz w:val="22"/>
          <w:szCs w:val="22"/>
          <w:b w:val="1"/>
          <w:bCs w:val="1"/>
          <w:color w:val="auto"/>
        </w:rPr>
      </w:pPr>
    </w:p>
    <w:p>
      <w:pPr>
        <w:ind w:left="-8" w:firstLine="8"/>
        <w:spacing w:after="0" w:line="246" w:lineRule="auto"/>
        <w:tabs>
          <w:tab w:leader="none" w:pos="4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Disclosures During Restricted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will provide a copy of this Agreement to any person or entity with whom I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a business relationship, whether as an employee, consultant, partner, coventurer or otherwise, prior to entering into such business relationship during the Restricted Period.</w:t>
      </w:r>
    </w:p>
    <w:p>
      <w:pPr>
        <w:spacing w:after="0" w:line="165" w:lineRule="exact"/>
        <w:rPr>
          <w:rFonts w:ascii="Times New Roman" w:cs="Times New Roman" w:eastAsia="Times New Roman" w:hAnsi="Times New Roman"/>
          <w:sz w:val="22"/>
          <w:szCs w:val="22"/>
          <w:b w:val="1"/>
          <w:bCs w:val="1"/>
          <w:color w:val="auto"/>
        </w:rPr>
      </w:pPr>
    </w:p>
    <w:p>
      <w:pPr>
        <w:ind w:left="-8" w:right="100" w:firstLine="8"/>
        <w:spacing w:after="0" w:line="237" w:lineRule="auto"/>
        <w:tabs>
          <w:tab w:leader="none" w:pos="4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Reduction of Restricted Period by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waiver of any of my obligations under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unless made in writing by the Company. The failure of the Company to require my performance of any term or obligation of this Agreement, or the waiver of any breach of this Agreement, shall not prevent the Company’s subsequent enforcement of such term or obligation or be deemed a waiver of any subsequent breach. Notwithstanding anything to the contrary in Section 8, the Company may reduce the length of the Restricted Period by providing written notice to me of such reduction in connection with the ending of my employment relationship.</w:t>
      </w:r>
    </w:p>
    <w:p>
      <w:pPr>
        <w:spacing w:after="0" w:line="173" w:lineRule="exact"/>
        <w:rPr>
          <w:rFonts w:ascii="Times New Roman" w:cs="Times New Roman" w:eastAsia="Times New Roman" w:hAnsi="Times New Roman"/>
          <w:sz w:val="22"/>
          <w:szCs w:val="22"/>
          <w:b w:val="1"/>
          <w:bCs w:val="1"/>
          <w:color w:val="auto"/>
        </w:rPr>
      </w:pPr>
    </w:p>
    <w:p>
      <w:pPr>
        <w:ind w:left="-8" w:right="120" w:firstLine="8"/>
        <w:spacing w:after="0" w:line="246" w:lineRule="auto"/>
        <w:tabs>
          <w:tab w:leader="none" w:pos="4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case any provisions (or portions thereof) contained in this Agreement shall, for any reason, be held invalid,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or unenforceable in any respect, such invalidity, illegality or unenforceability shall not affect the other provisions of this Agreement, and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617855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7" w:right="339" w:bottom="1440" w:gutter="0" w:footer="0" w:header="0"/>
        </w:sectPr>
      </w:pPr>
    </w:p>
    <w:bookmarkStart w:id="198" w:name="page199"/>
    <w:bookmarkEnd w:id="198"/>
    <w:p>
      <w:pPr>
        <w:ind w:right="20"/>
        <w:spacing w:after="0" w:line="239" w:lineRule="auto"/>
        <w:rPr>
          <w:sz w:val="20"/>
          <w:szCs w:val="20"/>
          <w:color w:val="auto"/>
        </w:rPr>
      </w:pPr>
      <w:r>
        <w:rPr>
          <w:rFonts w:ascii="Times New Roman" w:cs="Times New Roman" w:eastAsia="Times New Roman" w:hAnsi="Times New Roman"/>
          <w:sz w:val="22"/>
          <w:szCs w:val="22"/>
          <w:color w:val="auto"/>
        </w:rPr>
        <w:t>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75" w:lineRule="exact"/>
        <w:rPr>
          <w:sz w:val="20"/>
          <w:szCs w:val="20"/>
          <w:color w:val="auto"/>
        </w:rPr>
      </w:pPr>
    </w:p>
    <w:p>
      <w:pPr>
        <w:ind w:right="320" w:firstLine="8"/>
        <w:spacing w:after="0" w:line="238" w:lineRule="auto"/>
        <w:tabs>
          <w:tab w:leader="none" w:pos="432"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Choice of Law and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will be deemed to be made and entered into in the State of California,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in all respects be interpreted, enforced and governed under the laws of the State of California. I hereby consent to the exclusive jurisdiction of the state and federal courts situated within California for purposes of enforcing this Agreement or for any other lawsuit relating to or arising under this Agreement, and I hereby waive any objection that I might have to personal jurisdiction or venue in those courts.</w:t>
      </w:r>
    </w:p>
    <w:p>
      <w:pPr>
        <w:spacing w:after="0" w:line="174" w:lineRule="exact"/>
        <w:rPr>
          <w:rFonts w:ascii="Times New Roman" w:cs="Times New Roman" w:eastAsia="Times New Roman" w:hAnsi="Times New Roman"/>
          <w:sz w:val="22"/>
          <w:szCs w:val="22"/>
          <w:b w:val="1"/>
          <w:bCs w:val="1"/>
          <w:color w:val="auto"/>
        </w:rPr>
      </w:pPr>
    </w:p>
    <w:p>
      <w:pPr>
        <w:ind w:left="440" w:hanging="432"/>
        <w:spacing w:after="0"/>
        <w:tabs>
          <w:tab w:leader="none" w:pos="4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Independence of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My obligations under this Agreement are independent of any obligation, contractual or</w:t>
      </w:r>
    </w:p>
    <w:p>
      <w:pPr>
        <w:spacing w:after="0" w:line="17" w:lineRule="exact"/>
        <w:rPr>
          <w:rFonts w:ascii="Times New Roman" w:cs="Times New Roman" w:eastAsia="Times New Roman" w:hAnsi="Times New Roman"/>
          <w:sz w:val="22"/>
          <w:szCs w:val="22"/>
          <w:b w:val="1"/>
          <w:bCs w:val="1"/>
          <w:color w:val="auto"/>
        </w:rPr>
      </w:pPr>
    </w:p>
    <w:p>
      <w:pPr>
        <w:ind w:right="1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otherwise, the Company has to me. The Company’s breach of any such obligation shall not be a defense against the enforcement of this Agreement or otherwise limit my obligations under this Agreement.</w:t>
      </w:r>
    </w:p>
    <w:p>
      <w:pPr>
        <w:spacing w:after="0" w:line="173" w:lineRule="exact"/>
        <w:rPr>
          <w:rFonts w:ascii="Times New Roman" w:cs="Times New Roman" w:eastAsia="Times New Roman" w:hAnsi="Times New Roman"/>
          <w:sz w:val="22"/>
          <w:szCs w:val="22"/>
          <w:b w:val="1"/>
          <w:bCs w:val="1"/>
          <w:color w:val="auto"/>
        </w:rPr>
      </w:pPr>
    </w:p>
    <w:p>
      <w:pPr>
        <w:ind w:right="20" w:firstLine="8"/>
        <w:spacing w:after="0" w:line="236" w:lineRule="auto"/>
        <w:tabs>
          <w:tab w:leader="none" w:pos="432"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Protected Disclosures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nothing contained in this Agreement limits my ability to communicate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or local governmental agency or commission, including to provide documents or other information, without notice to the Company. I also understand that nothing in this Agreement limits my ability to share compensation information concerning myself or others, except that this does not permit me to disclose compensation information concerning others that I obtain because my job responsibilities require or allow access to such information. Nothing in this Agreement prevents me from discussing or disclosing information about unlawful acts in the workplace, such as harassment or discrimination or any other conduct that I have reason to believe is unlawful</w:t>
      </w:r>
    </w:p>
    <w:p>
      <w:pPr>
        <w:spacing w:after="0" w:line="173" w:lineRule="exact"/>
        <w:rPr>
          <w:rFonts w:ascii="Times New Roman" w:cs="Times New Roman" w:eastAsia="Times New Roman" w:hAnsi="Times New Roman"/>
          <w:sz w:val="22"/>
          <w:szCs w:val="22"/>
          <w:b w:val="1"/>
          <w:bCs w:val="1"/>
          <w:color w:val="auto"/>
        </w:rPr>
      </w:pPr>
    </w:p>
    <w:p>
      <w:pPr>
        <w:ind w:firstLine="8"/>
        <w:spacing w:after="0" w:line="238" w:lineRule="auto"/>
        <w:tabs>
          <w:tab w:leader="none" w:pos="432"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Defend Trade Secrets Act of 2016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pursuant to the federal Defend Trade Secrets Act of 2016, I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4" w:lineRule="exact"/>
        <w:rPr>
          <w:rFonts w:ascii="Times New Roman" w:cs="Times New Roman" w:eastAsia="Times New Roman" w:hAnsi="Times New Roman"/>
          <w:sz w:val="22"/>
          <w:szCs w:val="22"/>
          <w:b w:val="1"/>
          <w:bCs w:val="1"/>
          <w:color w:val="auto"/>
        </w:rPr>
      </w:pPr>
    </w:p>
    <w:p>
      <w:pPr>
        <w:ind w:left="440" w:hanging="432"/>
        <w:spacing w:after="0"/>
        <w:tabs>
          <w:tab w:leader="none" w:pos="4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Agreements;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supplements and does not supersede any other confidentiality,</w:t>
      </w:r>
    </w:p>
    <w:p>
      <w:pPr>
        <w:spacing w:after="0" w:line="17" w:lineRule="exact"/>
        <w:rPr>
          <w:rFonts w:ascii="Times New Roman" w:cs="Times New Roman" w:eastAsia="Times New Roman" w:hAnsi="Times New Roman"/>
          <w:sz w:val="22"/>
          <w:szCs w:val="22"/>
          <w:b w:val="1"/>
          <w:bCs w:val="1"/>
          <w:color w:val="auto"/>
        </w:rPr>
      </w:pPr>
    </w:p>
    <w:p>
      <w:pPr>
        <w:ind w:right="200"/>
        <w:spacing w:after="0" w:line="23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assignment of inventions or restrictive covenant agreement between the Company and me. To the extent that this Agreement addresses other subject matters, this Agreement supersedes any other agreements between the Company and me with respect to such subject matters. This Agreement may be amended only in a written agreement executed by a duly authorized officer of the Company and me.</w:t>
      </w:r>
    </w:p>
    <w:p>
      <w:pPr>
        <w:spacing w:after="0" w:line="1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199" w:name="page200"/>
    <w:bookmarkEnd w:id="199"/>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I UNDERSTAND THAT THIS AGREEMENT AFFECTS IMPORTANT RIGHTS. I ACKNOWLEDGE AND AGREE THAT THE TERMS OF THIS AGREEMENT WILL APPLY TO MY ENTIRE SERVICE RELATIONSHIP WITH THE COMPANY, INCLUDING WITHOUT LIMITATION ANY PERIOD OF SERVICE PRIOR TO THE DATE OF MY SIGNATURE BELOW.</w:t>
      </w:r>
    </w:p>
    <w:p>
      <w:pPr>
        <w:spacing w:after="0" w:line="179"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has executed this Agreement as a sealed instrument and it shall become effective upon the later of the full execution by both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60" w:type="dxa"/>
            <w:vAlign w:val="bottom"/>
          </w:tcPr>
          <w:p>
            <w:pPr>
              <w:spacing w:after="0"/>
              <w:rPr>
                <w:sz w:val="24"/>
                <w:szCs w:val="24"/>
                <w:color w:val="auto"/>
              </w:rPr>
            </w:pPr>
          </w:p>
        </w:tc>
        <w:tc>
          <w:tcPr>
            <w:tcW w:w="3520" w:type="dxa"/>
            <w:vAlign w:val="bottom"/>
            <w:gridSpan w:val="2"/>
          </w:tcPr>
          <w:p>
            <w:pPr>
              <w:ind w:left="1520"/>
              <w:spacing w:after="0"/>
              <w:rPr>
                <w:sz w:val="20"/>
                <w:szCs w:val="20"/>
                <w:color w:val="auto"/>
              </w:rPr>
            </w:pPr>
            <w:r>
              <w:rPr>
                <w:rFonts w:ascii="Times New Roman" w:cs="Times New Roman" w:eastAsia="Times New Roman" w:hAnsi="Times New Roman"/>
                <w:sz w:val="22"/>
                <w:szCs w:val="22"/>
                <w:b w:val="1"/>
                <w:bCs w:val="1"/>
                <w:color w:val="auto"/>
              </w:rPr>
              <w:t>EMPLOYEE</w:t>
            </w:r>
          </w:p>
        </w:tc>
        <w:tc>
          <w:tcPr>
            <w:tcW w:w="4060" w:type="dxa"/>
            <w:vAlign w:val="bottom"/>
          </w:tcPr>
          <w:p>
            <w:pPr>
              <w:spacing w:after="0"/>
              <w:rPr>
                <w:sz w:val="24"/>
                <w:szCs w:val="24"/>
                <w:color w:val="auto"/>
              </w:rPr>
            </w:pPr>
          </w:p>
        </w:tc>
      </w:tr>
      <w:tr>
        <w:trPr>
          <w:trHeight w:val="514"/>
        </w:trPr>
        <w:tc>
          <w:tcPr>
            <w:tcW w:w="3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November 3, 2023</w:t>
            </w:r>
          </w:p>
        </w:tc>
        <w:tc>
          <w:tcPr>
            <w:tcW w:w="3520" w:type="dxa"/>
            <w:vAlign w:val="bottom"/>
            <w:gridSpan w:val="2"/>
          </w:tcPr>
          <w:p>
            <w:pPr>
              <w:ind w:left="1520"/>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7"/>
              </w:rPr>
              <w:t>/s/ Camille L. Bedrosian</w:t>
            </w:r>
          </w:p>
        </w:tc>
      </w:tr>
      <w:tr>
        <w:trPr>
          <w:trHeight w:val="280"/>
        </w:trPr>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7"/>
              </w:rPr>
              <w:t>Camille L. Bedrosian</w:t>
            </w:r>
          </w:p>
        </w:tc>
      </w:tr>
      <w:tr>
        <w:trPr>
          <w:trHeight w:val="737"/>
        </w:trPr>
        <w:tc>
          <w:tcPr>
            <w:tcW w:w="3660" w:type="dxa"/>
            <w:vAlign w:val="bottom"/>
          </w:tcPr>
          <w:p>
            <w:pPr>
              <w:spacing w:after="0"/>
              <w:rPr>
                <w:sz w:val="24"/>
                <w:szCs w:val="24"/>
                <w:color w:val="auto"/>
              </w:rPr>
            </w:pPr>
          </w:p>
        </w:tc>
        <w:tc>
          <w:tcPr>
            <w:tcW w:w="3520" w:type="dxa"/>
            <w:vAlign w:val="bottom"/>
            <w:gridSpan w:val="2"/>
          </w:tcPr>
          <w:p>
            <w:pPr>
              <w:ind w:left="1520"/>
              <w:spacing w:after="0"/>
              <w:rPr>
                <w:sz w:val="20"/>
                <w:szCs w:val="20"/>
                <w:color w:val="auto"/>
              </w:rPr>
            </w:pPr>
            <w:r>
              <w:rPr>
                <w:rFonts w:ascii="Times New Roman" w:cs="Times New Roman" w:eastAsia="Times New Roman" w:hAnsi="Times New Roman"/>
                <w:sz w:val="22"/>
                <w:szCs w:val="22"/>
                <w:b w:val="1"/>
                <w:bCs w:val="1"/>
                <w:color w:val="auto"/>
              </w:rPr>
              <w:t>THE COMPANY</w:t>
            </w:r>
          </w:p>
        </w:tc>
        <w:tc>
          <w:tcPr>
            <w:tcW w:w="4060" w:type="dxa"/>
            <w:vAlign w:val="bottom"/>
          </w:tcPr>
          <w:p>
            <w:pPr>
              <w:spacing w:after="0"/>
              <w:rPr>
                <w:sz w:val="24"/>
                <w:szCs w:val="24"/>
                <w:color w:val="auto"/>
              </w:rPr>
            </w:pPr>
          </w:p>
        </w:tc>
      </w:tr>
      <w:tr>
        <w:trPr>
          <w:trHeight w:val="514"/>
        </w:trPr>
        <w:tc>
          <w:tcPr>
            <w:tcW w:w="3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November 6, 2023</w:t>
            </w:r>
          </w:p>
        </w:tc>
        <w:tc>
          <w:tcPr>
            <w:tcW w:w="3520" w:type="dxa"/>
            <w:vAlign w:val="bottom"/>
            <w:gridSpan w:val="2"/>
          </w:tcPr>
          <w:p>
            <w:pPr>
              <w:ind w:left="1520"/>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Pr>
          <w:p>
            <w:pPr>
              <w:jc w:val="center"/>
              <w:ind w:right="1032"/>
              <w:spacing w:after="0"/>
              <w:rPr>
                <w:sz w:val="20"/>
                <w:szCs w:val="20"/>
                <w:color w:val="auto"/>
              </w:rPr>
            </w:pPr>
            <w:r>
              <w:rPr>
                <w:rFonts w:ascii="Times New Roman" w:cs="Times New Roman" w:eastAsia="Times New Roman" w:hAnsi="Times New Roman"/>
                <w:sz w:val="22"/>
                <w:szCs w:val="22"/>
                <w:color w:val="auto"/>
                <w:w w:val="98"/>
              </w:rPr>
              <w:t>/s/ Joshua B. Cohen</w:t>
            </w:r>
          </w:p>
        </w:tc>
      </w:tr>
      <w:tr>
        <w:trPr>
          <w:trHeight w:val="218"/>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tcPr>
          <w:p>
            <w:pPr>
              <w:jc w:val="center"/>
              <w:ind w:right="1032"/>
              <w:spacing w:after="0" w:line="219" w:lineRule="exact"/>
              <w:rPr>
                <w:sz w:val="20"/>
                <w:szCs w:val="20"/>
                <w:color w:val="auto"/>
              </w:rPr>
            </w:pPr>
            <w:r>
              <w:rPr>
                <w:rFonts w:ascii="Times New Roman" w:cs="Times New Roman" w:eastAsia="Times New Roman" w:hAnsi="Times New Roman"/>
                <w:sz w:val="22"/>
                <w:szCs w:val="22"/>
                <w:b w:val="1"/>
                <w:bCs w:val="1"/>
                <w:color w:val="auto"/>
                <w:w w:val="98"/>
              </w:rPr>
              <w:t>Joshua B. Cohen</w:t>
            </w:r>
          </w:p>
        </w:tc>
      </w:tr>
      <w:tr>
        <w:trPr>
          <w:trHeight w:val="286"/>
        </w:trPr>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6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7"/>
              </w:rPr>
              <w:t>President and Co-CEO</w:t>
            </w:r>
          </w:p>
        </w:tc>
      </w:tr>
      <w:tr>
        <w:trPr>
          <w:trHeight w:val="1478"/>
        </w:trPr>
        <w:tc>
          <w:tcPr>
            <w:tcW w:w="36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COMPANY</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Camille L. Bedrosian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-7620</wp:posOffset>
            </wp:positionV>
            <wp:extent cx="11410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-7620</wp:posOffset>
            </wp:positionV>
            <wp:extent cx="9131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8"/>
          <w:szCs w:val="18"/>
          <w:b w:val="1"/>
          <w:bCs w:val="1"/>
          <w:color w:val="auto"/>
        </w:rPr>
        <w:t>Prior Inventions</w:t>
      </w:r>
    </w:p>
    <w:p>
      <w:pPr>
        <w:spacing w:after="0" w:line="229"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8"/>
          <w:szCs w:val="18"/>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63" w:lineRule="exact"/>
        <w:rPr>
          <w:sz w:val="20"/>
          <w:szCs w:val="20"/>
          <w:color w:val="auto"/>
        </w:rPr>
      </w:pPr>
    </w:p>
    <w:p>
      <w:pPr>
        <w:ind w:left="1120" w:hanging="363"/>
        <w:spacing w:after="0"/>
        <w:tabs>
          <w:tab w:leader="none" w:pos="1120"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inventions or improvements</w:t>
      </w:r>
    </w:p>
    <w:p>
      <w:pPr>
        <w:spacing w:after="0" w:line="332" w:lineRule="exact"/>
        <w:rPr>
          <w:sz w:val="20"/>
          <w:szCs w:val="20"/>
          <w:color w:val="auto"/>
        </w:rPr>
      </w:pPr>
    </w:p>
    <w:p>
      <w:pPr>
        <w:ind w:left="1120" w:hanging="363"/>
        <w:spacing w:after="0"/>
        <w:tabs>
          <w:tab w:leader="none" w:pos="1120" w:val="left"/>
        </w:tabs>
        <w:numPr>
          <w:ilvl w:val="0"/>
          <w:numId w:val="1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this document does not accept different line items. (1) IST and compassionate access procedure</w:t>
            </w:r>
          </w:p>
        </w:tc>
        <w:tc>
          <w:tcPr>
            <w:tcW w:w="2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improvements ; (2) artificial CSF</w:t>
            </w:r>
          </w:p>
        </w:tc>
      </w:tr>
      <w:tr>
        <w:trPr>
          <w:trHeight w:val="196"/>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80" w:type="dxa"/>
            <w:vAlign w:val="bottom"/>
            <w:tcBorders>
              <w:top w:val="single" w:sz="8" w:color="auto"/>
              <w:bottom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flush and Trendelenburg for intrathecal administration of ASOs</w:t>
            </w:r>
          </w:p>
        </w:tc>
        <w:tc>
          <w:tcPr>
            <w:tcW w:w="22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588"/>
        </w:trPr>
        <w:tc>
          <w:tcPr>
            <w:tcW w:w="10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7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Additional sheets attached</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3"/>
        </w:trPr>
        <w:tc>
          <w:tcPr>
            <w:tcW w:w="83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following is a list of all patents and patent applications in which I have been named as an inventor:</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0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7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None</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10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7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See below:</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 send over a couple documents that outline the patents (1) Bedrosian Camille L Patents</w:t>
            </w: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Alexion; (2) Bedrosian, Camille</w:t>
            </w:r>
          </w:p>
        </w:tc>
      </w:tr>
      <w:tr>
        <w:trPr>
          <w:trHeight w:val="196"/>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80" w:type="dxa"/>
            <w:vAlign w:val="bottom"/>
            <w:tcBorders>
              <w:top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L_patents ariad GI 2</w:t>
            </w:r>
          </w:p>
        </w:tc>
        <w:tc>
          <w:tcPr>
            <w:tcW w:w="23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2"/>
        </w:trPr>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0" w:type="dxa"/>
            <w:vAlign w:val="bottom"/>
            <w:tcBorders>
              <w:top w:val="single" w:sz="8" w:color="auto"/>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01" w:name="page202"/>
    <w:bookmarkEnd w:id="20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employed in California, California Labor Code Section 2870 is as follows:</w:t>
      </w:r>
    </w:p>
    <w:p>
      <w:pPr>
        <w:spacing w:after="0" w:line="229" w:lineRule="exact"/>
        <w:rPr>
          <w:sz w:val="20"/>
          <w:szCs w:val="20"/>
          <w:color w:val="auto"/>
        </w:rPr>
      </w:pPr>
    </w:p>
    <w:p>
      <w:pPr>
        <w:ind w:firstLine="8"/>
        <w:spacing w:after="0" w:line="265" w:lineRule="auto"/>
        <w:tabs>
          <w:tab w:leader="none" w:pos="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77" w:lineRule="exact"/>
        <w:rPr>
          <w:rFonts w:ascii="Times New Roman" w:cs="Times New Roman" w:eastAsia="Times New Roman" w:hAnsi="Times New Roman"/>
          <w:sz w:val="18"/>
          <w:szCs w:val="18"/>
          <w:color w:val="auto"/>
        </w:rPr>
      </w:pPr>
    </w:p>
    <w:p>
      <w:pPr>
        <w:ind w:right="160" w:firstLine="757"/>
        <w:spacing w:after="0" w:line="281" w:lineRule="auto"/>
        <w:tabs>
          <w:tab w:leader="none" w:pos="110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of conception or reduction to practice of the invention to the employer’s business, or actual or demonstrably anticipated research or development of the employer; or</w:t>
      </w:r>
    </w:p>
    <w:p>
      <w:pPr>
        <w:spacing w:after="0" w:line="162"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any work performed by the employee for the employer.</w:t>
      </w:r>
    </w:p>
    <w:p>
      <w:pPr>
        <w:spacing w:after="0" w:line="224" w:lineRule="exact"/>
        <w:rPr>
          <w:rFonts w:ascii="Times New Roman" w:cs="Times New Roman" w:eastAsia="Times New Roman" w:hAnsi="Times New Roman"/>
          <w:sz w:val="18"/>
          <w:szCs w:val="18"/>
          <w:color w:val="auto"/>
        </w:rPr>
      </w:pPr>
    </w:p>
    <w:p>
      <w:pPr>
        <w:ind w:right="20" w:firstLine="8"/>
        <w:spacing w:after="0" w:line="281" w:lineRule="auto"/>
        <w:tabs>
          <w:tab w:leader="none" w:pos="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1" w:right="399" w:bottom="1440" w:gutter="0" w:footer="0" w:header="0"/>
        </w:sectPr>
      </w:pPr>
    </w:p>
    <w:bookmarkStart w:id="202" w:name="page203"/>
    <w:bookmarkEnd w:id="202"/>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AND RELEASE AGREEMENT</w:t>
      </w: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SEPARATIONAND RELEASE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Margaret Olinger, M.B.A.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Amylyx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This Agreement is entered into effective 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Executive and the Company are hereinafter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are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5"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currently employs the Executive as the Chief Commercial Officer of the Company pursuant to that certain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by and between the Parties, dated as of January 5, 2022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Employment Agreement, the Executive entered into a certain Employee Confidentiality, Assignment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Nonsolicitation Agreement with the Company, dated as of January 3, 2022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and a certain Officer Indemnification Agreement with the Company, dated as of January 6, 2021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4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Executive’s employment from the Company will be terminated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effective December 31, 2023 unless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date is mutually agreed to in writing by the Parties (such date,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Separation shall be a termination by the Company without “Cause” as provided in Section 3(d) of the Employment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represents the “Notice of Termination” as provided for in Section 4(a) of the Employment Agreement;</w:t>
      </w:r>
    </w:p>
    <w:p>
      <w:pPr>
        <w:spacing w:after="0" w:line="225" w:lineRule="exact"/>
        <w:rPr>
          <w:sz w:val="20"/>
          <w:szCs w:val="20"/>
          <w:color w:val="auto"/>
        </w:rPr>
      </w:pPr>
    </w:p>
    <w:p>
      <w:pPr>
        <w:ind w:right="28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Separation, the Executive is entitled to certain severance pay and benefits pursuant to Section 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the receipt of which is conditioned upon the Executive entering into a “Separation Agreement” (as defined in the Employment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w:t>
      </w:r>
      <w:r>
        <w:rPr>
          <w:rFonts w:ascii="Times New Roman" w:cs="Times New Roman" w:eastAsia="Times New Roman" w:hAnsi="Times New Roman"/>
          <w:sz w:val="18"/>
          <w:szCs w:val="18"/>
          <w:color w:val="auto"/>
        </w:rPr>
        <w:t>S, this Agreement is that Separation Agreement;</w:t>
      </w:r>
    </w:p>
    <w:p>
      <w:pPr>
        <w:spacing w:after="0" w:line="225" w:lineRule="exact"/>
        <w:rPr>
          <w:sz w:val="20"/>
          <w:szCs w:val="20"/>
          <w:color w:val="auto"/>
        </w:rPr>
      </w:pPr>
    </w:p>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this Agreement, the Parties desire to amicably end the Executive’s employment relationship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Employment Agreement, notwithstanding any prior agreements to the contrary.</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contained herein, it is hereby agreed by, between and among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1045845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right="860" w:firstLine="749"/>
        <w:spacing w:after="0" w:line="281" w:lineRule="auto"/>
        <w:rPr>
          <w:sz w:val="20"/>
          <w:szCs w:val="20"/>
          <w:color w:val="auto"/>
        </w:rPr>
      </w:pPr>
      <w:r>
        <w:rPr>
          <w:rFonts w:ascii="Times New Roman" w:cs="Times New Roman" w:eastAsia="Times New Roman" w:hAnsi="Times New Roman"/>
          <w:sz w:val="18"/>
          <w:szCs w:val="18"/>
          <w:color w:val="auto"/>
        </w:rPr>
        <w:t>In consideration of the foregoing Recitals and the mutual promises and covenants herein contained, and for other good and valuable consideration, the Parties, intending to be legally bound, agree as follows: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1.SEPARATION AND RELATEDMATTERS.</w:t>
      </w:r>
    </w:p>
    <w:p>
      <w:pPr>
        <w:spacing w:after="0" w:line="225" w:lineRule="exact"/>
        <w:rPr>
          <w:sz w:val="20"/>
          <w:szCs w:val="20"/>
          <w:color w:val="auto"/>
        </w:rPr>
      </w:pPr>
    </w:p>
    <w:p>
      <w:pPr>
        <w:jc w:val="both"/>
        <w:ind w:right="220" w:firstLine="749"/>
        <w:spacing w:after="0" w:line="259" w:lineRule="auto"/>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Separation; Remaining Duties.</w:t>
      </w:r>
      <w:r>
        <w:rPr>
          <w:rFonts w:ascii="Times New Roman" w:cs="Times New Roman" w:eastAsia="Times New Roman" w:hAnsi="Times New Roman"/>
          <w:sz w:val="18"/>
          <w:szCs w:val="18"/>
          <w:color w:val="auto"/>
        </w:rPr>
        <w:t xml:space="preserve"> Effective as of the Date of Termination, the Company shall terminate the Executive’s employment with the Company without “Cause” pursuant to Section 3(d) of the Employment Agreement. Executive agrees that this Agreement represents the “Notice of Termination” pursuant to Section 4(a) of the Employment Agreement. From the date of this Agreement through the Date of Termination, the Executive shall provide all reasonable services requested by the Company, such duties to be performed by the Executive in good faith (such services through the Date of Termination, the “</w:t>
      </w:r>
      <w:r>
        <w:rPr>
          <w:rFonts w:ascii="Times New Roman" w:cs="Times New Roman" w:eastAsia="Times New Roman" w:hAnsi="Times New Roman"/>
          <w:sz w:val="18"/>
          <w:szCs w:val="18"/>
          <w:u w:val="single" w:color="auto"/>
          <w:color w:val="auto"/>
        </w:rPr>
        <w:t>Remaining Duties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xml:space="preserve"> In accordance with Section 4(c) of the Employment Agreement, the Company shall pay the Executive (a) any Base Salary (as defined in the Employment Agreement) earned through the Date of Termination, (b) any unpaid expense reimbursements (subject to, and in accordance with, Section 2(c) of the Employment Agreement) and (c) any vested benefits that the Executive may have under any employee benefit plan of the Company through the Date of Termination, which vested benefits shall be paid and/or provided in accordance with the terms of such employee benefit plans. For the avoidance of doubt, the foregoing collectively are the “Accrued Obligations” as defined in the Employment Agreement. In addition, subject to approval of the Compensation Committee and notwithstanding anything to the contrary in the Employment Agreement, the Executive shall be eligible for annual incentive compensation, as defined in Section 2(b) of the Employment Agreement, for the calendar year 2023, with the corporate component (80%) at the achievement rate set by the Board of Directors and the individual component (20%) at 100% achievement. Employee shall receive the amount determined to be the 2023 annual incentive compensation by March 15, 2024.</w:t>
      </w:r>
    </w:p>
    <w:p>
      <w:pPr>
        <w:spacing w:after="0" w:line="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2.SEVERANCE PAY AND BENEFITS.</w:t>
      </w:r>
    </w:p>
    <w:p>
      <w:pPr>
        <w:spacing w:after="0" w:line="332"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b w:val="1"/>
          <w:bCs w:val="1"/>
          <w:color w:val="auto"/>
        </w:rPr>
        <w:t>Severance Amount.</w:t>
      </w:r>
      <w:r>
        <w:rPr>
          <w:rFonts w:ascii="Times New Roman" w:cs="Times New Roman" w:eastAsia="Times New Roman" w:hAnsi="Times New Roman"/>
          <w:sz w:val="18"/>
          <w:szCs w:val="18"/>
          <w:color w:val="auto"/>
        </w:rPr>
        <w:t xml:space="preserve"> If the Executive enters into, does not revoke, and complies with the terms of this Agreement and this Agreement becomes irrevocable, all within sixty (60) days after the Date of Termination, the Company shall pay the Executive an amount equal to nine (9) months of the Executive’s current base salary (the “Severance Amount”). The Severance Amount shall be paid in substantially equal installments in accordance with the Company’s payroll practice for the nine (9) month period immediately following the Date of Termination, commencing within sixty (60) days after the Date of Termination.</w:t>
      </w:r>
    </w:p>
    <w:p>
      <w:pPr>
        <w:spacing w:after="0" w:line="17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xml:space="preserve"> If the Executive enters into, does not revoke, and complies with the terms of this Agreement and this Agreement becomes irrevocable, all within sixty (60) days after the Date of Termination, subject to the Executive’s copayment of premium amounts at the applicable active employees’ rate and the Executive’s proper election to receive benefits under the law known as “COBRA,” the Company shall pay to the group health plan provider, the COBRA provider or the Executive a monthly amount equal to the monthly contribution that the Company would have made to provide health insurance to the Executive if the Executive had remained employed by the Company until the earliest of (a) the nine (9) month anniversary of the Date of Termination, (b) the Executive’s eligibility for group medical plan benefits under any other employer’s group medical plan, or (c) the cessation of the Executive’s rights under COBRA; provided, however, that if the Company determines that it cannot pay such amounts to the group health plan provider or the COBRA provider (if applicable) without potentially violating applicable law (including, without limitation, Section2716 of the Public Health Service Act), then the Company shall convert such payments to payroll payments directly to the Executive for the time period specified above and such payments shall be subject to tax related deductions and withholdings and paid on the Company’s regular payroll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1033780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204" w:name="page205"/>
    <w:bookmarkEnd w:id="204"/>
    <w:p>
      <w:pPr>
        <w:spacing w:after="0" w:line="337" w:lineRule="exact"/>
        <w:rPr>
          <w:sz w:val="20"/>
          <w:szCs w:val="20"/>
          <w:color w:val="auto"/>
        </w:rPr>
      </w:pPr>
    </w:p>
    <w:p>
      <w:pPr>
        <w:jc w:val="both"/>
        <w:ind w:right="140" w:firstLine="749"/>
        <w:spacing w:after="0" w:line="268" w:lineRule="auto"/>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xml:space="preserve"> Each payment pursuant to this Agreement is intended to constitute a separate payment for purposes of Section 409A of the Internal Revenue Code of 1986, as amended, and the regulations and other guidance issued thereunder and any state law of similar effect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3.EQUITY. </w:t>
      </w:r>
      <w:r>
        <w:rPr>
          <w:rFonts w:ascii="Times New Roman" w:cs="Times New Roman" w:eastAsia="Times New Roman" w:hAnsi="Times New Roman"/>
          <w:sz w:val="18"/>
          <w:szCs w:val="18"/>
          <w:color w:val="auto"/>
        </w:rPr>
        <w:t>The Executive’s existing equity awards in the Company shall continue to be governed by the terms and conditions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applicable equity incentive plan(s) and the applicable award agreement(s) (collectively, including, without limitation, the Company’s 2015 Stock Option and Restricted Stock Plan and the Company’s 2022 Stock Option and Incentive Plan, the “Equity Documents”). Any portion of an existing equity award that is not vested as of the Date of Termination shall terminate immediately and be of no further force and effect. Notwithstanding anything to the contrary in the Equity Documents, and subject to approval by the Board of Directors of the Company and the Executive’s consent below, the Company hereby agrees to amend any existing equity award that is a stock option to extend the period of time in which the Executive may exercise the vested portion of such stock option until the earlier of six (6) months from the Date of Termination or the Expiration Date of the stock option. If Executive wishes to accept this offer, she should execute the Rider attached as Exhibit A hereto on or prior to the Date of Termination. Executive acknowledges that if she accepts this offer, to the extent a stock option is intended to be an “incentive stock option,” such option shall no longer qualify as an “incentive stock option” under the Internal Revenue Code of 1986, as amended, and shall instead be taxed as a non-statutory stock option. Accordingly, the Executive will be subject to ordinary income taxes (and tax withholding) in the event the Executive exercises such stock option. If the Executive does not complete the Rider by the date 29 days following the date upon which Executive first receives a copy of this Agreement, the Executive automatically declines the Company’s offer to extend the stock option exercise period and the stock option will be taxed as a non-statutory stock option. To the extent any stock option remains eligible to be an “incentive stock option,” it must be exercised within three (3) months after the Date of Termination to qualify for treatment as an “incentive stock option.”</w:t>
      </w:r>
    </w:p>
    <w:p>
      <w:pPr>
        <w:spacing w:after="0" w:line="19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4.RELEASE OF CLAIMS. </w:t>
      </w:r>
      <w:r>
        <w:rPr>
          <w:rFonts w:ascii="Times New Roman" w:cs="Times New Roman" w:eastAsia="Times New Roman" w:hAnsi="Times New Roman"/>
          <w:sz w:val="18"/>
          <w:szCs w:val="18"/>
          <w:color w:val="auto"/>
        </w:rPr>
        <w:t>In consideration for, among other terms, the full performance by the Company of all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without limitation, the payment to the Executive of the Severance Pay and Benefits provided for in Section 2, the Executive irrevocably and unconditionally releases and forever discharges the Company, all of its affiliated and related entities, its and their respective predecessors, successors and assigns, its and their respective employee benefit plans and the fiduciaries of such plans, and the current and former officers, directors, direct and indirect securityholders, employees, attorneys, accountants, and agents of each of the foregoing in their official and personal capacities (collectively referred to as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generally from all claims, demands, debts, damages and liabilities of every name and nature, known or unknown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that, as of the date when the Executive signs this Agreement, she has, ever had, now claims to have or ever claimed to have had against any or all of the Releasees. This release includes, without limitation, the complete waiver and release of all Claims of or arising in connection with: the Employment Agreement, the Addendum or any other agreement between the Executive and any of the Releasees, including, without limitation, Claims for breach of express or implied contract; wrongful termination of employment whether in contract or tort; intentional, reckless, or negligent infliction of emotional distress; breach of any express or implied covenant of employment, including the covenant of good faith and fair dealing;interference with contractual or advantageous relations, whether prospective or existing; fraud, deceit or misrepresentation; discrimination, harassment or retaliation under state, federal, or municipal law, including, without limitation, Title VII of the Civil Rights Act of 1964, 42 U.S.C. § 2000e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the Americans with Disabilities Act, 42 U.S.C. § 12101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Age Discrimination in Employment Act, 29 U.S.C. § 621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Family and Medical Leave Act, and the Massachusetts Fair Employment Practices Act, M.G.L. c. 149, §151B; the Connecticut Family and Medical Leave Act, Conn. Gen. Stat. Ann. §§ 31-51kk et seq.; Connecticut'’ whistleblower law, Conn. Gen. Stat. Ann. § 31-51m;Connecticut’s free speech law, Conn. Gen. Stat. Ann. § 31-51q; the Connecticut Fair Employment Practices Act, Conn. Gen. Stat. Ann. §§ 46a-58, et seq.; and the anti-retaliation provision of Connecticut's workers’compensation statute, Conn. Gen. Stat. Ann. § 31-290a;violation of any state or local statute,rule, ordinance, or regulation; promissory estoppel or detrimental reliance; fraud, slander, libel, defamation, disparagement, or damage to reputation; personal injury, negligence, or any other claim for damages or injury of any kind whatsoever, and all claims for monetary recovery, including, without limitation, attorneys’ fees, experts’ fees, medical fees or expenses, costs, and disbursements; whistleblower retaliation; invasion of privacy; violation of public policy or any other unlawful behavior</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reinstatement; compensatory,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1044575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440" w:right="359" w:bottom="1440" w:gutter="0" w:footer="0" w:header="0"/>
        </w:sectPr>
      </w:pPr>
    </w:p>
    <w:bookmarkStart w:id="205" w:name="page206"/>
    <w:bookmarkEnd w:id="205"/>
    <w:p>
      <w:pPr>
        <w:spacing w:after="0" w:line="200" w:lineRule="exact"/>
        <w:rPr>
          <w:sz w:val="20"/>
          <w:szCs w:val="20"/>
          <w:color w:val="auto"/>
        </w:rPr>
      </w:pP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punitive or emotional distress damages; wages, bonuses, incentive compensation, equity, severance pay, vacation pay, back or front pay or other forms of compensation, including, without limitation, the Massachusetts Wage Act, M.G.L.c. 149, §§148-150C and Connecticut’s minimum wage and wage payment laws, Conn. Gen. Stat. Ann. §§ 31-58 to 31-76m; and attorney’s fees and costs. The Executive understands that this general release of Claims includes, without limitation, any and all Claims related to the Executive’s employment by the Company (including, without limitation, any Claims against the Company with respect to any stock-based awards of any kind) and the termination of her employment, and all Claims in her capacity as a shareholder of the Company arising up to and through the date that the Executive enters into this Agreement. The Executive understands that this general release does not extend to any rights or Claims that may arise out of acts or events that occur after the date on which she signs this Agreement. The Executive represents that she has not assigned to any third party and has not filed with any agency or court any Claim released by this Agreement. This release does not affect the Executive’s rights or obligations under this Agreement, nor shall it affect the Executive’s rights, if any, to unemployment compensation benefits or to workers’ compensation. The Executive hereby expressly waives and relinquishes all rights and benefits under that section and any law of any jurisdiction of similar effect with respect to the release of any unknown or unsuspected claims (including, but limited to, the Claims)the Executive may have against the Releasees. The Executive agrees to not accept damages of any nature, other equitable or legal remedies for her own benefit or attorney’s fees or costs from any of the Releasees with respect to any Claim released by this Agreement.</w:t>
      </w:r>
    </w:p>
    <w:p>
      <w:pPr>
        <w:spacing w:after="0" w:line="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5.CONTINUING OBLIGATIONS.</w:t>
      </w:r>
    </w:p>
    <w:p>
      <w:pPr>
        <w:spacing w:after="0" w:line="200" w:lineRule="exact"/>
        <w:rPr>
          <w:sz w:val="20"/>
          <w:szCs w:val="20"/>
          <w:color w:val="auto"/>
        </w:rPr>
      </w:pPr>
    </w:p>
    <w:p>
      <w:pPr>
        <w:spacing w:after="0" w:line="2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b w:val="1"/>
          <w:bCs w:val="1"/>
          <w:color w:val="auto"/>
        </w:rPr>
        <w:t>Restrictive Covenant Obligations.</w:t>
      </w:r>
      <w:r>
        <w:rPr>
          <w:rFonts w:ascii="Times New Roman" w:cs="Times New Roman" w:eastAsia="Times New Roman" w:hAnsi="Times New Roman"/>
          <w:sz w:val="18"/>
          <w:szCs w:val="18"/>
          <w:color w:val="auto"/>
        </w:rPr>
        <w:t xml:space="preserve"> Nothing in this Agreement shall limit the Executive’s obligations under the Restrictive Covenant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any other confidentiality, assignment of inventions or restrictive covenant agreement between the Company and the Executive, all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shall remain in full force and effect in accordance with their terms (collectively, and with Section3(c) of the Employment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Preserved Sections</w:t>
      </w:r>
      <w:r>
        <w:rPr>
          <w:rFonts w:ascii="Times New Roman" w:cs="Times New Roman" w:eastAsia="Times New Roman" w:hAnsi="Times New Roman"/>
          <w:sz w:val="18"/>
          <w:szCs w:val="18"/>
          <w:color w:val="auto"/>
        </w:rPr>
        <w:t>”). For purposes of this Agreement, the obligations in this Section6, the Preserved Sections and any other agreement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right="80" w:firstLine="749"/>
        <w:spacing w:after="0" w:line="259" w:lineRule="auto"/>
        <w:rPr>
          <w:sz w:val="20"/>
          <w:szCs w:val="20"/>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b w:val="1"/>
          <w:bCs w:val="1"/>
          <w:color w:val="auto"/>
        </w:rPr>
        <w:t>Non-Disparagement.</w:t>
      </w:r>
      <w:r>
        <w:rPr>
          <w:rFonts w:ascii="Times New Roman" w:cs="Times New Roman" w:eastAsia="Times New Roman" w:hAnsi="Times New Roman"/>
          <w:sz w:val="18"/>
          <w:szCs w:val="18"/>
          <w:color w:val="auto"/>
        </w:rPr>
        <w:t xml:space="preserve"> Subject to Section 7 of this Agreement, the Executive agrees not to take any action or make any statements, written or oral, that are disparaging about or adverse to the business interests of the Company or any of its affiliates or its or their products, services or current or former officers, directors, direct or indirect securityholders, employees, managers or agents. Company agrees to direct its executive-level employees not to take any action or make any statements, written or oral, that are disparaging about the Executive. These non-disparagement obligations shall not apply to truthful testimony in any legal proceeding.</w:t>
      </w:r>
    </w:p>
    <w:p>
      <w:pPr>
        <w:spacing w:after="0" w:line="7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8"/>
          <w:szCs w:val="18"/>
          <w:b w:val="1"/>
          <w:bCs w:val="1"/>
          <w:color w:val="auto"/>
        </w:rPr>
        <w:t>Confidentiality of Agreement-Related Information.</w:t>
      </w:r>
      <w:r>
        <w:rPr>
          <w:rFonts w:ascii="Times New Roman" w:cs="Times New Roman" w:eastAsia="Times New Roman" w:hAnsi="Times New Roman"/>
          <w:sz w:val="18"/>
          <w:szCs w:val="18"/>
          <w:color w:val="auto"/>
        </w:rPr>
        <w:t xml:space="preserve"> Subject to Section 7 of this Agreement, the Executive agrees, to the fullest extent permitted by law, to keep all Agreement-Related Information completely confidential. For purposes of this Agreement, “</w:t>
      </w:r>
      <w:r>
        <w:rPr>
          <w:rFonts w:ascii="Times New Roman" w:cs="Times New Roman" w:eastAsia="Times New Roman" w:hAnsi="Times New Roman"/>
          <w:sz w:val="18"/>
          <w:szCs w:val="18"/>
          <w:u w:val="single" w:color="auto"/>
          <w:color w:val="auto"/>
        </w:rPr>
        <w:t>Agreement-Related Information</w:t>
      </w:r>
      <w:r>
        <w:rPr>
          <w:rFonts w:ascii="Times New Roman" w:cs="Times New Roman" w:eastAsia="Times New Roman" w:hAnsi="Times New Roman"/>
          <w:sz w:val="18"/>
          <w:szCs w:val="18"/>
          <w:color w:val="auto"/>
        </w:rPr>
        <w:t xml:space="preserve">” means the negotiations leading to this Agreement and the existence and terms of this Agreement. Notwithstanding the foregoing, the Executive may disclose Agreement-Related Information to the Executive’s spouse, attorney and financial advisors,and to them only provided that they first agree for the benefit of the Company to keep Agreement-Related Information confidential. Nothing in this section shall be construed to prevent the Executive from disclosing Agreement-Related Information to the extent required by a lawfully issued subpoena or duly issued court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provide the Company with advance written notice and a reasonable opportunity to contest such subpoena or court order.</w:t>
      </w:r>
    </w:p>
    <w:p>
      <w:pPr>
        <w:spacing w:after="0" w:line="73"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b w:val="1"/>
          <w:bCs w:val="1"/>
          <w:color w:val="auto"/>
        </w:rPr>
        <w:t>Litigation and Regulatory Cooperation.</w:t>
      </w:r>
      <w:r>
        <w:rPr>
          <w:rFonts w:ascii="Times New Roman" w:cs="Times New Roman" w:eastAsia="Times New Roman" w:hAnsi="Times New Roman"/>
          <w:sz w:val="18"/>
          <w:szCs w:val="18"/>
          <w:color w:val="auto"/>
        </w:rPr>
        <w:t xml:space="preserve"> After the Date of Termination, the Executive shall reasonably cooperate with the Company(at the Company’s cost and expense) in the defense or prosecution of any claims or actions now in existence or which may be brought in the future against or on behalf of the Company which relate to events or occurrences that transpired while the Executive was employed by or providing services to the Company. The Executive’s cooperation in connection with such claims or actions shall include, but not be limited to, being reasonably available to meet with counsel to prepare for discovery or trial and to act as a witness on behalf of the Company at mutually convenient times. After the Date of Termination, the Executive also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1031875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206" w:name="page207"/>
    <w:bookmarkEnd w:id="206"/>
    <w:p>
      <w:pPr>
        <w:spacing w:after="0" w:line="340"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cooperate with the Company (at the Company’s cost and expense) in connection with any investigation or review of any federal, state or local regulatory authority as any such investigation or review relates to events or occurrences that transpired while the Executive was employed by or providing services to the Company. The Company shall reimburse the Executive for any reasonable out-of-pocket expenses incurred in connection with the</w:t>
      </w:r>
    </w:p>
    <w:p>
      <w:pPr>
        <w:spacing w:after="0" w:line="375"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Executive’s performance of obligations pursuant to this Section 6.4 upon presentation of receipts. Nothing about the foregoing shall preclude the Executive from testifying truthfully in any forum or from providing truthful information to any regulatory authority or require the Executive to waive any attorney-client privilege or protection or violate any applicable law.</w:t>
      </w:r>
    </w:p>
    <w:p>
      <w:pPr>
        <w:spacing w:after="0" w:line="6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18"/>
          <w:szCs w:val="18"/>
          <w:b w:val="1"/>
          <w:bCs w:val="1"/>
          <w:color w:val="auto"/>
        </w:rPr>
        <w:t>Relief.</w:t>
      </w:r>
      <w:r>
        <w:rPr>
          <w:rFonts w:ascii="Times New Roman" w:cs="Times New Roman" w:eastAsia="Times New Roman" w:hAnsi="Times New Roman"/>
          <w:sz w:val="18"/>
          <w:szCs w:val="18"/>
          <w:color w:val="auto"/>
        </w:rPr>
        <w:t xml:space="preserve"> The Executive agrees that it would be difficult to measure any damages caused to the Company which might result from any breach by her of the Continuing Obligations, and that in any event money damages would be an inadequate remedy for any such breach. Accordingly, the Executive agrees that if she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 In addition, in the event the Executive breaches any of the Continuing Obligations during a period when she is receiving severance payments pursuant to Section 2 hereof,the Company shall have the right to suspend or terminate such severance payments. Such suspension or termination shall not limit the Company’s other options with respect to relief for such breach.</w:t>
      </w:r>
    </w:p>
    <w:p>
      <w:pPr>
        <w:spacing w:after="0" w:line="7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6.PROTECTED DISCLOSURES. </w:t>
      </w:r>
      <w:r>
        <w:rPr>
          <w:rFonts w:ascii="Times New Roman" w:cs="Times New Roman" w:eastAsia="Times New Roman" w:hAnsi="Times New Roman"/>
          <w:sz w:val="18"/>
          <w:szCs w:val="18"/>
          <w:color w:val="auto"/>
        </w:rPr>
        <w:t>Nothing contained in this Agreement, any other agreement with the Company, or any Company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the Executive’s ability, with or without notice to the Company, to: (a) file a charge or complaint with any federal, state or local governmental agency or commission (a “Government Agency”), including without limitation, the Equal Employment Opportunity Commission, the National Labor Relations Board or the Securities and Exchange Commission (the “SEC”); (b) communicate with any Government Agency or otherwise participate in any investigation or proceeding that may be conducted by any Government Agency, including by providing non-privileged documents or information; (c) exercise any rights under Section 7 of the National Labor Relations Act, which are available to non-supervisory employees, including assisting co-workers with or discussing any employment issue as part of engaging in concerted activities for the purpose of mutual aid or protection; (d) discuss or disclose information about unlawful acts in the workplace, such as harassment or discrimination or any other conduct that the Executive has reason to believe is unlawful; or (e)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of any other third party pursues any claim on the Executive’s behalf, the Executive waives any right to monetary or other individualized relief (either individually or as part of any collective or class action),but the Company will not limit any right the Executive may have to receive an award pursuant to the whistleblower provisions of any applicable law or regulation for providing information to the SEC or any other Government Agency. The Executive understands that pursuant to the Defend Trade Secrets Act of 2016, whether pursuant to this Agreement or the Restrictive Covenant Agreement,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7" w:lineRule="exact"/>
        <w:rPr>
          <w:sz w:val="20"/>
          <w:szCs w:val="20"/>
          <w:color w:val="auto"/>
        </w:rPr>
      </w:pPr>
    </w:p>
    <w:p>
      <w:pPr>
        <w:jc w:val="both"/>
        <w:ind w:right="38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NOTICES. </w:t>
      </w:r>
      <w:r>
        <w:rPr>
          <w:rFonts w:ascii="Times New Roman" w:cs="Times New Roman" w:eastAsia="Times New Roman" w:hAnsi="Times New Roman"/>
          <w:sz w:val="18"/>
          <w:szCs w:val="18"/>
          <w:color w:val="auto"/>
        </w:rPr>
        <w:t>Any notices, requests,demands and other communications provided for by this Agreement shall be sufficient if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1165860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440" w:right="359" w:bottom="1440" w:gutter="0" w:footer="0" w:header="0"/>
        </w:sectPr>
      </w:pPr>
    </w:p>
    <w:bookmarkStart w:id="207" w:name="page208"/>
    <w:bookmarkEnd w:id="207"/>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 AND BINDINGEFFECT. </w:t>
      </w:r>
      <w:r>
        <w:rPr>
          <w:rFonts w:ascii="Times New Roman" w:cs="Times New Roman" w:eastAsia="Times New Roman" w:hAnsi="Times New Roman"/>
          <w:sz w:val="18"/>
          <w:szCs w:val="18"/>
          <w:color w:val="auto"/>
        </w:rPr>
        <w:t>This Agreement shall inure to the benefit of and be binding upon the Executive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each of the Executive’s and the Company’s respective successors, executors, administrators, heirs and permitted assigns. Because of the unique and personal nature the Executive’s duties under this Agreement, neither this Agreement nor any rights or obligations under this Agreement shall be assignable by the Executive.</w:t>
      </w:r>
    </w:p>
    <w:p>
      <w:pPr>
        <w:spacing w:after="0" w:line="2" w:lineRule="exact"/>
        <w:rPr>
          <w:sz w:val="20"/>
          <w:szCs w:val="20"/>
          <w:color w:val="auto"/>
        </w:rPr>
      </w:pPr>
    </w:p>
    <w:p>
      <w:pPr>
        <w:jc w:val="both"/>
        <w:ind w:right="6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CHOICE OF LAW. </w:t>
      </w:r>
      <w:r>
        <w:rPr>
          <w:rFonts w:ascii="Times New Roman" w:cs="Times New Roman" w:eastAsia="Times New Roman" w:hAnsi="Times New Roman"/>
          <w:sz w:val="18"/>
          <w:szCs w:val="18"/>
          <w:color w:val="auto"/>
        </w:rPr>
        <w:t>This Agreement shall be construed and interpreted in accordance with the internal laws of the Commonwealth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Massachusetts without regard to its conflict of laws principles. With respect to any disputes concerning federal law, such disputes shall be determined in accordance with the law as it would be interpreted and applied by the United States Court of Appeals for the First Circuit.</w:t>
      </w:r>
    </w:p>
    <w:p>
      <w:pPr>
        <w:spacing w:after="0" w:line="181"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JURISDICTION AND VENUE. </w:t>
      </w:r>
      <w:r>
        <w:rPr>
          <w:rFonts w:ascii="Times New Roman" w:cs="Times New Roman" w:eastAsia="Times New Roman" w:hAnsi="Times New Roman"/>
          <w:sz w:val="18"/>
          <w:szCs w:val="18"/>
          <w:color w:val="auto"/>
        </w:rPr>
        <w:t>The Parties hereby consent to the jurisdiction of the state and federal courts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Commonwealth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280G. </w:t>
      </w:r>
      <w:r>
        <w:rPr>
          <w:rFonts w:ascii="Times New Roman" w:cs="Times New Roman" w:eastAsia="Times New Roman" w:hAnsi="Times New Roman"/>
          <w:sz w:val="18"/>
          <w:szCs w:val="18"/>
          <w:color w:val="auto"/>
        </w:rPr>
        <w:t>In the event that any compensation, payment or distribution by the Company to the Executive or the Executive’s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paid or payable or distributed or distributable pursuant to this Agreement or otherwise (the “</w:t>
      </w:r>
      <w:r>
        <w:rPr>
          <w:rFonts w:ascii="Times New Roman" w:cs="Times New Roman" w:eastAsia="Times New Roman" w:hAnsi="Times New Roman"/>
          <w:sz w:val="18"/>
          <w:szCs w:val="18"/>
          <w:u w:val="single" w:color="auto"/>
          <w:color w:val="auto"/>
        </w:rPr>
        <w:t>Parachute Payments</w:t>
      </w:r>
      <w:r>
        <w:rPr>
          <w:rFonts w:ascii="Times New Roman" w:cs="Times New Roman" w:eastAsia="Times New Roman" w:hAnsi="Times New Roman"/>
          <w:sz w:val="18"/>
          <w:szCs w:val="18"/>
          <w:color w:val="auto"/>
        </w:rPr>
        <w:t>”), would be subject to the excise tax imposed by Section 4999 of the Code, then (a) the Executive shall execute a customary waiver agreeing to reduce any such Parachute Payments (but not below zero) to the extent necessary so that the maximum Parachute Payments shall not exceed the Threshold Amount (the “</w:t>
      </w:r>
      <w:r>
        <w:rPr>
          <w:rFonts w:ascii="Times New Roman" w:cs="Times New Roman" w:eastAsia="Times New Roman" w:hAnsi="Times New Roman"/>
          <w:sz w:val="18"/>
          <w:szCs w:val="18"/>
          <w:u w:val="single" w:color="auto"/>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and (b) the Company shall use reasonable efforts to satisfy the shareholder approval requirements set forth in Q/A 7 of Treasury Regulations Section 1.280G-1with respect to such Reduction Amount, and if such requirements are satisfied then such Reduction Amount shall become payable pursuant to this Agreement or otherwise as if subsection (a) above had not applied thereto. For purposes of this Section, “</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shall mean three times the Executive’s “base amount” within the meaning of Section 280G(b)(3) of the Code and the regulations thereunder, less one dollar</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INTEGRATION; NO RELIANCE. </w:t>
      </w:r>
      <w:r>
        <w:rPr>
          <w:rFonts w:ascii="Times New Roman" w:cs="Times New Roman" w:eastAsia="Times New Roman" w:hAnsi="Times New Roman"/>
          <w:sz w:val="18"/>
          <w:szCs w:val="18"/>
          <w:color w:val="auto"/>
        </w:rPr>
        <w:t>This Agreement, the Preserved Sections (including, without limitation, the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Agreement, all of which, for the avoidance of doubt, are subject to Section 7 of this Agreement), the Indemnification Agreement and the Equity Documents represent and contain the complete, final and exclusive agreement of the Parties relating to the terms and conditions of the Executive’s termination of employment from the Company and engagement by the Company as an Advisor and supersede all prior and contemporaneous oral and written employment agreements or arrangements between the Parties, including, without limitation, the Employment Agreement, except the Preserved Sections (including, without limitation, the Restrictive Covenant Agreement, all of which, for the avoidance of doubt, are subject to Section 7 of this Agreement) and as otherwise expressly preserved in this Agreement. In signing this Agreement, the Executive is not relying on any agreement, statement or promise of the Company except as is expressly contained in this Agreement.</w:t>
      </w:r>
    </w:p>
    <w:p>
      <w:pPr>
        <w:spacing w:after="0" w:line="7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13.TIME FOR CONSIDERATION; EFFECTIVE DATE. </w:t>
      </w:r>
      <w:r>
        <w:rPr>
          <w:rFonts w:ascii="Times New Roman" w:cs="Times New Roman" w:eastAsia="Times New Roman" w:hAnsi="Times New Roman"/>
          <w:sz w:val="18"/>
          <w:szCs w:val="18"/>
          <w:color w:val="auto"/>
        </w:rPr>
        <w:t>The Executive acknowledges that she has been provided with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this Agreement for a period of twenty-one (21) days from her receipt of this Agreement before signing it (the “Consideration Period”) and has been advised to consult with an attorney before signing this Agreement. To accept this Agreement, the Executive must return to the Company a signed, unmodified original or PDF copy of this Agreement so that it is received by the undersigned before the end of the Consideration Period. If the Executive signs this Agreement before the end of the Consideration Period, the Executive acknowledges by signing this Agreement that such decision was entirely voluntary and that she had the opportunity to consider this Agreement for the entire Consideration Period.The Parties agree that any changes or modifications to this Agreement shall not restart the Consideration Period. For a period of seven (7) days from the day of the execution of this Agreement (the “Revocation Period”), the Executive has and shall retain the right to revoke this Agreement by written notice that must be received by the undersigned before the end of such Revocation Period. This Agreement shall become effective on the business day immediately following the expiration of the Revocation Period (the “Effective Date”), provided that the Executive does not revoke this Agreement during the Revocation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1033780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208" w:name="page209"/>
    <w:bookmarkEnd w:id="208"/>
    <w:p>
      <w:pPr>
        <w:spacing w:after="0" w:line="336"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14.AMENDMENT. </w:t>
      </w:r>
      <w:r>
        <w:rPr>
          <w:rFonts w:ascii="Times New Roman" w:cs="Times New Roman" w:eastAsia="Times New Roman" w:hAnsi="Times New Roman"/>
          <w:sz w:val="18"/>
          <w:szCs w:val="18"/>
          <w:color w:val="auto"/>
        </w:rPr>
        <w:t>This Agreement cannot be amended or modified except by a written agreement signed by the Executive and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of the Company.</w:t>
      </w:r>
    </w:p>
    <w:p>
      <w:pPr>
        <w:spacing w:after="0" w:line="46"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15.WAIVER</w:t>
      </w:r>
      <w:r>
        <w:rPr>
          <w:rFonts w:ascii="Times New Roman" w:cs="Times New Roman" w:eastAsia="Times New Roman" w:hAnsi="Times New Roman"/>
          <w:sz w:val="18"/>
          <w:szCs w:val="18"/>
          <w:color w:val="auto"/>
        </w:rPr>
        <w:t>. No term, covenant or condition of this Agreement or any breach thereof shall be deemed waived,except with the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Party against whom the wavier is claimed, and any waiver of any such term, covenant, condition or breach shall not be deemed to be a waiver of any preceding or succeeding breach of the same or any other term, covenant, condition or breach.</w:t>
      </w:r>
    </w:p>
    <w:p>
      <w:pPr>
        <w:spacing w:after="0" w:line="62" w:lineRule="exact"/>
        <w:rPr>
          <w:sz w:val="20"/>
          <w:szCs w:val="20"/>
          <w:color w:val="auto"/>
        </w:rPr>
      </w:pPr>
    </w:p>
    <w:p>
      <w:pPr>
        <w:ind w:right="8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16.SEVERABILITY. </w:t>
      </w:r>
      <w:r>
        <w:rPr>
          <w:rFonts w:ascii="Times New Roman" w:cs="Times New Roman" w:eastAsia="Times New Roman" w:hAnsi="Times New Roman"/>
          <w:sz w:val="18"/>
          <w:szCs w:val="18"/>
          <w:color w:val="auto"/>
        </w:rPr>
        <w:t>The finding by a court or arbitrator of competent jurisdiction of the unenforceability, invalidity or illegality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or the Preserved Sections, shall not render any other provision of this Agreement, or the Preserved Sections, unenforceable, invalid or illegal. Such court or arbitrator shall have the authority to modify or replace the invalid or unenforceable term or provision with a valid and enforceable term or provision, and the Parties hereby stipulate that such modification or replacement most accurately represents the Parties’ intention with respect to the invalid or unenforceable term, or provision.</w:t>
      </w:r>
    </w:p>
    <w:p>
      <w:pPr>
        <w:spacing w:after="0" w:line="70" w:lineRule="exact"/>
        <w:rPr>
          <w:sz w:val="20"/>
          <w:szCs w:val="20"/>
          <w:color w:val="auto"/>
        </w:rPr>
      </w:pPr>
    </w:p>
    <w:p>
      <w:pPr>
        <w:ind w:right="12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17.INTERPRETATION; CONSTRUCTION. </w:t>
      </w:r>
      <w:r>
        <w:rPr>
          <w:rFonts w:ascii="Times New Roman" w:cs="Times New Roman" w:eastAsia="Times New Roman" w:hAnsi="Times New Roman"/>
          <w:sz w:val="18"/>
          <w:szCs w:val="18"/>
          <w:color w:val="auto"/>
        </w:rPr>
        <w:t>The headings set forth in this Agreement are for convenience of reference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used in interpreting this Agreement. The Executive has consulted with her own independent counsel and tax advisors with respect to the terms of this Agreement. The Parties acknowledge that each Party and its counsel has reviewed and revised,or had an opportunity to review and revise, this Agreement, and any rule of construction to the effect that any ambiguities are to be resolved against the drafting Party shall not be employed in the interpretation of this Agreement.</w:t>
      </w:r>
    </w:p>
    <w:p>
      <w:pPr>
        <w:spacing w:after="0" w:line="70"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18.SURVIVAL. </w:t>
      </w:r>
      <w:r>
        <w:rPr>
          <w:rFonts w:ascii="Times New Roman" w:cs="Times New Roman" w:eastAsia="Times New Roman" w:hAnsi="Times New Roman"/>
          <w:sz w:val="18"/>
          <w:szCs w:val="18"/>
          <w:color w:val="auto"/>
        </w:rPr>
        <w:t>The provisions of this Agreement shall survive the termination of this Agreement and/or the termination of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to the extent necessary to effectuate the terms contained herein.</w:t>
      </w:r>
    </w:p>
    <w:p>
      <w:pPr>
        <w:spacing w:after="0" w:line="46"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19.COUNTERPARTS. </w:t>
      </w:r>
      <w:r>
        <w:rPr>
          <w:rFonts w:ascii="Times New Roman" w:cs="Times New Roman" w:eastAsia="Times New Roman" w:hAnsi="Times New Roman"/>
          <w:sz w:val="18"/>
          <w:szCs w:val="18"/>
          <w:color w:val="auto"/>
        </w:rPr>
        <w:t>This Agreement may be executed in two or more counterparts, each of which shall be deemed an original,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contribute one and the same instrument.</w:t>
      </w:r>
    </w:p>
    <w:p>
      <w:pPr>
        <w:spacing w:after="0" w:line="15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1334135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440" w:right="359" w:bottom="1440" w:gutter="0" w:footer="0" w:header="0"/>
        </w:sectPr>
      </w:pPr>
    </w:p>
    <w:bookmarkStart w:id="209" w:name="page210"/>
    <w:bookmarkEnd w:id="209"/>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 first above written.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Joshua B. Cohen</w:t>
            </w:r>
          </w:p>
        </w:tc>
        <w:tc>
          <w:tcPr>
            <w:tcW w:w="4860" w:type="dxa"/>
            <w:vAlign w:val="bottom"/>
          </w:tcPr>
          <w:p>
            <w:pPr>
              <w:spacing w:after="0"/>
              <w:rPr>
                <w:sz w:val="20"/>
                <w:szCs w:val="20"/>
                <w:color w:val="auto"/>
              </w:rPr>
            </w:pPr>
          </w:p>
        </w:tc>
      </w:tr>
      <w:tr>
        <w:trPr>
          <w:trHeight w:val="207"/>
        </w:trPr>
        <w:tc>
          <w:tcPr>
            <w:tcW w:w="15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Joshua B. Cohen</w:t>
            </w:r>
          </w:p>
        </w:tc>
        <w:tc>
          <w:tcPr>
            <w:tcW w:w="4860" w:type="dxa"/>
            <w:vAlign w:val="bottom"/>
          </w:tcPr>
          <w:p>
            <w:pPr>
              <w:spacing w:after="0"/>
              <w:rPr>
                <w:sz w:val="17"/>
                <w:szCs w:val="17"/>
                <w:color w:val="auto"/>
              </w:rPr>
            </w:pPr>
          </w:p>
        </w:tc>
      </w:tr>
      <w:tr>
        <w:trPr>
          <w:trHeight w:val="238"/>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President and Co-CEO</w:t>
            </w:r>
          </w:p>
        </w:tc>
        <w:tc>
          <w:tcPr>
            <w:tcW w:w="4860" w:type="dxa"/>
            <w:vAlign w:val="bottom"/>
          </w:tcPr>
          <w:p>
            <w:pPr>
              <w:spacing w:after="0"/>
              <w:rPr>
                <w:sz w:val="20"/>
                <w:szCs w:val="20"/>
                <w:color w:val="auto"/>
              </w:rPr>
            </w:pPr>
          </w:p>
        </w:tc>
      </w:tr>
      <w:tr>
        <w:trPr>
          <w:trHeight w:val="458"/>
        </w:trPr>
        <w:tc>
          <w:tcPr>
            <w:tcW w:w="24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39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72"/>
        </w:trPr>
        <w:tc>
          <w:tcPr>
            <w:tcW w:w="24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Margaret Olinger</w:t>
            </w:r>
          </w:p>
        </w:tc>
        <w:tc>
          <w:tcPr>
            <w:tcW w:w="4860" w:type="dxa"/>
            <w:vAlign w:val="bottom"/>
          </w:tcPr>
          <w:p>
            <w:pPr>
              <w:spacing w:after="0"/>
              <w:rPr>
                <w:sz w:val="24"/>
                <w:szCs w:val="24"/>
                <w:color w:val="auto"/>
              </w:rPr>
            </w:pPr>
          </w:p>
        </w:tc>
      </w:tr>
      <w:tr>
        <w:trPr>
          <w:trHeight w:val="232"/>
        </w:trPr>
        <w:tc>
          <w:tcPr>
            <w:tcW w:w="15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Margaret Olinger, M.B.A.</w:t>
            </w:r>
          </w:p>
        </w:tc>
        <w:tc>
          <w:tcPr>
            <w:tcW w:w="4860" w:type="dxa"/>
            <w:vAlign w:val="bottom"/>
          </w:tcPr>
          <w:p>
            <w:pPr>
              <w:spacing w:after="0"/>
              <w:rPr>
                <w:sz w:val="20"/>
                <w:szCs w:val="20"/>
                <w:color w:val="auto"/>
              </w:rPr>
            </w:pPr>
          </w:p>
        </w:tc>
      </w:tr>
      <w:tr>
        <w:trPr>
          <w:trHeight w:val="2533"/>
        </w:trPr>
        <w:tc>
          <w:tcPr>
            <w:tcW w:w="1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0" w:name="page211"/>
    <w:bookmarkEnd w:id="210"/>
    <w:p>
      <w:pPr>
        <w:spacing w:after="0" w:line="22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Rider</w:t>
      </w:r>
    </w:p>
    <w:p>
      <w:pPr>
        <w:spacing w:after="0" w:line="225"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RIDER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u w:val="single" w:color="auto"/>
          <w:color w:val="auto"/>
        </w:rPr>
        <w:t>Rider</w:t>
      </w:r>
      <w:r>
        <w:rPr>
          <w:rFonts w:ascii="Times New Roman" w:cs="Times New Roman" w:eastAsia="Times New Roman" w:hAnsi="Times New Roman"/>
          <w:sz w:val="18"/>
          <w:szCs w:val="18"/>
          <w:color w:val="auto"/>
        </w:rPr>
        <w:t>”) is entered into by and among Margaret Olinger, M.B.A. (the “</w:t>
      </w:r>
      <w:r>
        <w:rPr>
          <w:rFonts w:ascii="Times New Roman" w:cs="Times New Roman" w:eastAsia="Times New Roman" w:hAnsi="Times New Roman"/>
          <w:sz w:val="18"/>
          <w:szCs w:val="18"/>
          <w:b w:val="1"/>
          <w:bCs w:val="1"/>
          <w:i w:val="1"/>
          <w:iCs w:val="1"/>
          <w:u w:val="single" w:color="auto"/>
          <w:color w:val="auto"/>
        </w:rPr>
        <w:t>Executive</w:t>
      </w:r>
      <w:r>
        <w:rPr>
          <w:rFonts w:ascii="Times New Roman" w:cs="Times New Roman" w:eastAsia="Times New Roman" w:hAnsi="Times New Roman"/>
          <w:sz w:val="18"/>
          <w:szCs w:val="18"/>
          <w:color w:val="auto"/>
        </w:rPr>
        <w:t>”), and Amylyx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relative to the Separation and Release Agreement (the “Agreement”) executed between the parties. This Rider is entered into effective as of , 2023. The Executive and the Company are hereinafter collectively referred to as the “</w:t>
      </w:r>
      <w:r>
        <w:rPr>
          <w:rFonts w:ascii="Times New Roman" w:cs="Times New Roman" w:eastAsia="Times New Roman" w:hAnsi="Times New Roman"/>
          <w:sz w:val="18"/>
          <w:szCs w:val="18"/>
          <w:b w:val="1"/>
          <w:bCs w:val="1"/>
          <w:i w:val="1"/>
          <w:iCs w:val="1"/>
          <w:u w:val="single" w:color="auto"/>
          <w:color w:val="auto"/>
        </w:rPr>
        <w:t>Parties</w:t>
      </w:r>
      <w:r>
        <w:rPr>
          <w:rFonts w:ascii="Times New Roman" w:cs="Times New Roman" w:eastAsia="Times New Roman" w:hAnsi="Times New Roman"/>
          <w:sz w:val="18"/>
          <w:szCs w:val="18"/>
          <w:color w:val="auto"/>
        </w:rPr>
        <w:t>” and each are individually referred to as a “</w:t>
      </w:r>
      <w:r>
        <w:rPr>
          <w:rFonts w:ascii="Times New Roman" w:cs="Times New Roman" w:eastAsia="Times New Roman" w:hAnsi="Times New Roman"/>
          <w:sz w:val="18"/>
          <w:szCs w:val="18"/>
          <w:b w:val="1"/>
          <w:bCs w:val="1"/>
          <w:i w:val="1"/>
          <w:iCs w:val="1"/>
          <w:u w:val="single" w:color="auto"/>
          <w:color w:val="auto"/>
        </w:rPr>
        <w:t>Party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-173990</wp:posOffset>
            </wp:positionV>
            <wp:extent cx="1263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126365" cy="8255"/>
                    </a:xfrm>
                    <a:prstGeom prst="rect">
                      <a:avLst/>
                    </a:prstGeom>
                    <a:noFill/>
                  </pic:spPr>
                </pic:pic>
              </a:graphicData>
            </a:graphic>
          </wp:anchor>
        </w:drawing>
      </w:r>
    </w:p>
    <w:p>
      <w:pPr>
        <w:spacing w:after="0" w:line="155" w:lineRule="exact"/>
        <w:rPr>
          <w:sz w:val="20"/>
          <w:szCs w:val="20"/>
          <w:color w:val="auto"/>
        </w:rPr>
      </w:pPr>
    </w:p>
    <w:p>
      <w:pPr>
        <w:ind w:right="100" w:firstLine="749"/>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Section 3 of the Agreement, Company has agreed to amend Executive’s vested stock options to extend the period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in which the Executive may exercise such vested stock options until the earlier of six (6) months from the Date of Termination (as defined in the Agreement) or the Expiration Date of such stock options,notwithstanding anything to the contrary in the Equity Documents (as defined in the Agreement);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wishes to accept this offer and effectuate the extension;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contained herein, it is hereby agreed by, between and among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as follows:</w:t>
      </w:r>
    </w:p>
    <w:p>
      <w:pPr>
        <w:spacing w:after="0" w:line="20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AGREEMENT TO EXTEND EXERCISE PERIOD. </w:t>
      </w:r>
      <w:r>
        <w:rPr>
          <w:rFonts w:ascii="Times New Roman" w:cs="Times New Roman" w:eastAsia="Times New Roman" w:hAnsi="Times New Roman"/>
          <w:sz w:val="18"/>
          <w:szCs w:val="18"/>
          <w:color w:val="auto"/>
        </w:rPr>
        <w:t>Company and Executive agree to the amendment of Executive’s vested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described in Section 3 of the Agreement. I acknowledge that by agreeing to this amendment, any stock option that was intended to be an “incentive stock option,” shall no longer qualify as an “incentive stock option” under the Internal Revenue Code of 1986,as amended, and shall instead be taxed as a non-statutory stock option.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 WITNESSWHEREOF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2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26035</wp:posOffset>
            </wp:positionV>
            <wp:extent cx="303974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3039745" cy="8255"/>
                    </a:xfrm>
                    <a:prstGeom prst="rect">
                      <a:avLst/>
                    </a:prstGeom>
                    <a:noFill/>
                  </pic:spPr>
                </pic:pic>
              </a:graphicData>
            </a:graphic>
          </wp:anchor>
        </w:drawing>
      </w:r>
    </w:p>
    <w:p>
      <w:pPr>
        <w:spacing w:after="0" w:line="2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26035</wp:posOffset>
            </wp:positionV>
            <wp:extent cx="30397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3039745" cy="8255"/>
                    </a:xfrm>
                    <a:prstGeom prst="rect">
                      <a:avLst/>
                    </a:prstGeom>
                    <a:noFill/>
                  </pic:spPr>
                </pic:pic>
              </a:graphicData>
            </a:graphic>
          </wp:anchor>
        </w:drawing>
      </w:r>
    </w:p>
    <w:p>
      <w:pPr>
        <w:spacing w:after="0" w:line="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17145</wp:posOffset>
            </wp:positionV>
            <wp:extent cx="30397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3039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MARGARET OLINGER,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1891030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SUBSIDIARIES</w:t>
      </w:r>
    </w:p>
    <w:p>
      <w:pPr>
        <w:spacing w:after="0" w:line="225" w:lineRule="exact"/>
        <w:rPr>
          <w:sz w:val="20"/>
          <w:szCs w:val="20"/>
          <w:color w:val="auto"/>
        </w:rPr>
      </w:pPr>
    </w:p>
    <w:p>
      <w:pPr>
        <w:ind w:right="580" w:firstLine="749"/>
        <w:spacing w:after="0" w:line="281" w:lineRule="auto"/>
        <w:rPr>
          <w:sz w:val="20"/>
          <w:szCs w:val="20"/>
          <w:color w:val="auto"/>
        </w:rPr>
      </w:pPr>
      <w:r>
        <w:rPr>
          <w:rFonts w:ascii="Times New Roman" w:cs="Times New Roman" w:eastAsia="Times New Roman" w:hAnsi="Times New Roman"/>
          <w:sz w:val="18"/>
          <w:szCs w:val="18"/>
          <w:color w:val="auto"/>
        </w:rPr>
        <w:t>Amylyx Pharmaceuticals, Inc. had international subsidiaries shown below as of February 22, 2024. Amylyx Pharmaceuticals, Inc. is not a subsidiary of any other entity.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40"/>
        </w:trPr>
        <w:tc>
          <w:tcPr>
            <w:tcW w:w="6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33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Canada Inc.</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3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EMEA B.V.</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35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Distribution Ltd.</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3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Germany GmbH</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3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France SAS</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3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Belgium SRL</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3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UK Ltd.</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Amylyx Pharmaceuticals Japan K.K.</w:t>
            </w:r>
          </w:p>
        </w:tc>
        <w:tc>
          <w:tcPr>
            <w:tcW w:w="2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1207"/>
        </w:trPr>
        <w:tc>
          <w:tcPr>
            <w:tcW w:w="6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333-270505 on Form S-3 and Registration Statement Nos. 333-273883, 333-270509 and 333-262125 on Form S-8 of our reports dated February 22, 2024 relating to the financial statements of Amylyx Pharmaceuticals, Inc. and the effectiveness of Amylyx Pharmaceutical Inc.’s internal control over financial reporting appearing in this Annual Report on Form 10-K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B. Cohen, certify that:</w:t>
      </w:r>
    </w:p>
    <w:p>
      <w:pPr>
        <w:spacing w:after="0" w:line="225" w:lineRule="exact"/>
        <w:rPr>
          <w:sz w:val="20"/>
          <w:szCs w:val="20"/>
          <w:color w:val="auto"/>
        </w:rPr>
      </w:pPr>
    </w:p>
    <w:p>
      <w:pPr>
        <w:ind w:left="520" w:hanging="512"/>
        <w:spacing w:after="0"/>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Amylyx Pharmaceuticals,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3"/>
        <w:spacing w:after="0" w:line="265" w:lineRule="auto"/>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3"/>
        <w:spacing w:after="0" w:line="312" w:lineRule="auto"/>
        <w:tabs>
          <w:tab w:leader="none" w:pos="10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1" w:lineRule="auto"/>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1" w:lineRule="auto"/>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2024</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b w:val="1"/>
                <w:bCs w:val="1"/>
                <w:color w:val="auto"/>
                <w:w w:val="99"/>
              </w:rPr>
              <w:t>Joshua B. Cohen</w:t>
            </w:r>
          </w:p>
        </w:tc>
      </w:tr>
      <w:tr>
        <w:trPr>
          <w:trHeight w:val="204"/>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Joshua B. Cohen</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w:t>
            </w:r>
          </w:p>
        </w:tc>
      </w:tr>
      <w:tr>
        <w:trPr>
          <w:trHeight w:val="1531"/>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B. Klee, certify that:</w:t>
      </w:r>
    </w:p>
    <w:p>
      <w:pPr>
        <w:spacing w:after="0" w:line="225"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Amylyx Pharmaceuticals,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2024</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Justin B. Klee</w:t>
            </w:r>
          </w:p>
        </w:tc>
      </w:tr>
      <w:tr>
        <w:trPr>
          <w:trHeight w:val="204"/>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Justin B. Klee</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w:t>
            </w:r>
          </w:p>
        </w:tc>
      </w:tr>
      <w:tr>
        <w:trPr>
          <w:trHeight w:val="991"/>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 Frates, certify that:</w:t>
      </w:r>
    </w:p>
    <w:p>
      <w:pPr>
        <w:spacing w:after="0" w:line="225"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Amylyx Pharmaceuticals,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3"/>
        <w:spacing w:after="0" w:line="265"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3"/>
        <w:spacing w:after="0" w:line="312" w:lineRule="auto"/>
        <w:tabs>
          <w:tab w:leader="none" w:pos="10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1"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1"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2024</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James M. Frates</w:t>
            </w:r>
          </w:p>
        </w:tc>
      </w:tr>
      <w:tr>
        <w:trPr>
          <w:trHeight w:val="204"/>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James M. Frates</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1315"/>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Amylyx Pharmaceuticals,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2024</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b w:val="1"/>
                <w:bCs w:val="1"/>
                <w:color w:val="auto"/>
                <w:w w:val="99"/>
              </w:rPr>
              <w:t>Joshua B. Cohen</w:t>
            </w:r>
          </w:p>
        </w:tc>
      </w:tr>
      <w:tr>
        <w:trPr>
          <w:trHeight w:val="204"/>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Joshua B. Cohen</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w:t>
            </w:r>
          </w:p>
        </w:tc>
      </w:tr>
      <w:tr>
        <w:trPr>
          <w:trHeight w:val="174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Amylyx Pharmaceuticals,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2024</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Justin B. Klee</w:t>
            </w:r>
          </w:p>
        </w:tc>
      </w:tr>
      <w:tr>
        <w:trPr>
          <w:trHeight w:val="204"/>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Justin B. Klee</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w:t>
            </w:r>
          </w:p>
        </w:tc>
      </w:tr>
      <w:tr>
        <w:trPr>
          <w:trHeight w:val="1531"/>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Amylyx Pharmaceuticals,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2024</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James M. Frates</w:t>
            </w:r>
          </w:p>
        </w:tc>
      </w:tr>
      <w:tr>
        <w:trPr>
          <w:trHeight w:val="204"/>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James M. Frates</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1207"/>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October 2,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Amylyx Pharmaceuticals,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a Compensation Recovery Policy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as described below.</w:t>
      </w:r>
    </w:p>
    <w:p>
      <w:pPr>
        <w:spacing w:after="0" w:line="232" w:lineRule="exact"/>
        <w:rPr>
          <w:sz w:val="20"/>
          <w:szCs w:val="20"/>
          <w:color w:val="auto"/>
        </w:rPr>
      </w:pPr>
    </w:p>
    <w:p>
      <w:pPr>
        <w:ind w:left="1080" w:hanging="564"/>
        <w:spacing w:after="0"/>
        <w:tabs>
          <w:tab w:leader="none" w:pos="108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8"/>
        <w:spacing w:after="0" w:line="260" w:lineRule="auto"/>
        <w:rPr>
          <w:sz w:val="20"/>
          <w:szCs w:val="20"/>
          <w:color w:val="auto"/>
        </w:rPr>
      </w:pPr>
      <w:r>
        <w:rPr>
          <w:rFonts w:ascii="Times New Roman" w:cs="Times New Roman" w:eastAsia="Times New Roman" w:hAnsi="Times New Roman"/>
          <w:sz w:val="18"/>
          <w:szCs w:val="18"/>
          <w:color w:val="auto"/>
        </w:rPr>
        <w:t>The Policy sets forth the circumstances and procedures under which the Company shall recover Erroneously Awarded Compensation from current and former Executive Officers and other employees of the Company in accordance with rules issued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Nasdaq Stock Market. Please refer to Section 3 below for definitions of capitalized terms used and not otherwise defined herein.</w:t>
      </w:r>
    </w:p>
    <w:p>
      <w:pPr>
        <w:spacing w:after="0" w:line="70" w:lineRule="exact"/>
        <w:rPr>
          <w:sz w:val="20"/>
          <w:szCs w:val="20"/>
          <w:color w:val="auto"/>
        </w:rPr>
      </w:pPr>
    </w:p>
    <w:p>
      <w:pPr>
        <w:ind w:left="1020" w:hanging="504"/>
        <w:spacing w:after="0"/>
        <w:tabs>
          <w:tab w:leader="none" w:pos="10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Requirement</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65" w:lineRule="exact"/>
        <w:rPr>
          <w:sz w:val="20"/>
          <w:szCs w:val="20"/>
          <w:color w:val="auto"/>
        </w:rPr>
      </w:pPr>
    </w:p>
    <w:p>
      <w:pPr>
        <w:ind w:left="1020" w:hanging="504"/>
        <w:spacing w:after="0"/>
        <w:tabs>
          <w:tab w:leader="none" w:pos="10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8" w:lineRule="exact"/>
        <w:rPr>
          <w:rFonts w:ascii="Times New Roman" w:cs="Times New Roman" w:eastAsia="Times New Roman" w:hAnsi="Times New Roman"/>
          <w:sz w:val="18"/>
          <w:szCs w:val="18"/>
          <w:b w:val="1"/>
          <w:bCs w:val="1"/>
          <w:color w:val="auto"/>
        </w:rPr>
      </w:pPr>
    </w:p>
    <w:p>
      <w:pPr>
        <w:jc w:val="both"/>
        <w:ind w:left="1540" w:hanging="514"/>
        <w:spacing w:after="0" w:line="258" w:lineRule="auto"/>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Recovery Period</w:t>
      </w:r>
      <w:r>
        <w:rPr>
          <w:rFonts w:ascii="Times New Roman" w:cs="Times New Roman" w:eastAsia="Times New Roman" w:hAnsi="Times New Roman"/>
          <w:sz w:val="18"/>
          <w:szCs w:val="18"/>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81" w:lineRule="exact"/>
        <w:rPr>
          <w:rFonts w:ascii="Times New Roman" w:cs="Times New Roman" w:eastAsia="Times New Roman" w:hAnsi="Times New Roman"/>
          <w:sz w:val="18"/>
          <w:szCs w:val="18"/>
          <w:color w:val="auto"/>
        </w:rPr>
      </w:pPr>
    </w:p>
    <w:p>
      <w:pPr>
        <w:ind w:left="1540" w:hanging="514"/>
        <w:spacing w:after="0" w:line="281" w:lineRule="auto"/>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Rules</w:t>
      </w:r>
      <w:r>
        <w:rPr>
          <w:rFonts w:ascii="Times New Roman" w:cs="Times New Roman" w:eastAsia="Times New Roman" w:hAnsi="Times New Roman"/>
          <w:sz w:val="18"/>
          <w:szCs w:val="18"/>
          <w:color w:val="auto"/>
        </w:rPr>
        <w:t>” means any rules or regulations adopted by the Exchange pursuant to Rule 10D-1 under the Exchange Act and any applicable rules or regulations adopted by the SEC pursuant to Section 10D of the Exchange Act.</w:t>
      </w:r>
    </w:p>
    <w:p>
      <w:pPr>
        <w:spacing w:after="0" w:line="1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4" w:lineRule="exact"/>
        <w:rPr>
          <w:rFonts w:ascii="Times New Roman" w:cs="Times New Roman" w:eastAsia="Times New Roman" w:hAnsi="Times New Roman"/>
          <w:sz w:val="18"/>
          <w:szCs w:val="18"/>
          <w:color w:val="auto"/>
        </w:rPr>
      </w:pPr>
    </w:p>
    <w:p>
      <w:pPr>
        <w:ind w:left="1540" w:hanging="514"/>
        <w:spacing w:after="0" w:line="281" w:lineRule="auto"/>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in the absence of such committee, a majority of independent directors serving on the Board.</w:t>
      </w:r>
    </w:p>
    <w:p>
      <w:pPr>
        <w:spacing w:after="0" w:line="162" w:lineRule="exact"/>
        <w:rPr>
          <w:rFonts w:ascii="Times New Roman" w:cs="Times New Roman" w:eastAsia="Times New Roman" w:hAnsi="Times New Roman"/>
          <w:sz w:val="18"/>
          <w:szCs w:val="18"/>
          <w:color w:val="auto"/>
        </w:rPr>
      </w:pPr>
    </w:p>
    <w:p>
      <w:pPr>
        <w:jc w:val="both"/>
        <w:ind w:left="1540" w:hanging="514"/>
        <w:spacing w:after="0" w:line="254" w:lineRule="auto"/>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means any Executive Officer and any other person designated by the Board or the Committee as being subject to this Policy.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October 2, 2023.</w:t>
      </w:r>
    </w:p>
    <w:p>
      <w:pPr>
        <w:spacing w:after="0" w:line="224" w:lineRule="exact"/>
        <w:rPr>
          <w:rFonts w:ascii="Times New Roman" w:cs="Times New Roman" w:eastAsia="Times New Roman" w:hAnsi="Times New Roman"/>
          <w:sz w:val="18"/>
          <w:szCs w:val="18"/>
          <w:color w:val="auto"/>
        </w:rPr>
      </w:pPr>
    </w:p>
    <w:p>
      <w:pPr>
        <w:jc w:val="both"/>
        <w:ind w:left="1540" w:hanging="514"/>
        <w:spacing w:after="0" w:line="254" w:lineRule="auto"/>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both"/>
        <w:ind w:left="1540"/>
        <w:spacing w:after="0" w:line="265" w:lineRule="auto"/>
        <w:rPr>
          <w:sz w:val="20"/>
          <w:szCs w:val="20"/>
          <w:color w:val="auto"/>
        </w:rPr>
      </w:pPr>
      <w:r>
        <w:rPr>
          <w:rFonts w:ascii="Times New Roman" w:cs="Times New Roman" w:eastAsia="Times New Roman" w:hAnsi="Times New Roman"/>
          <w:sz w:val="18"/>
          <w:szCs w:val="18"/>
          <w:color w:val="auto"/>
        </w:rPr>
        <w:t>maintain documentation of the determination of such reasonable estimate and provide such documentation to the Exchange in accordance with the Applicable Rules. Incentive-Based Compensation that is based on a Financial Reporting Measure is deemed received, earned or vested when the Financial Reporting Measure is attained, not when the actual payment, grant or vesting occurs.</w:t>
      </w:r>
    </w:p>
    <w:p>
      <w:pPr>
        <w:spacing w:after="0" w:line="177" w:lineRule="exact"/>
        <w:rPr>
          <w:sz w:val="20"/>
          <w:szCs w:val="20"/>
          <w:color w:val="auto"/>
        </w:rPr>
      </w:pPr>
    </w:p>
    <w:p>
      <w:pPr>
        <w:ind w:left="1540" w:hanging="514"/>
        <w:spacing w:after="0"/>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Stock Market LLC.</w:t>
      </w:r>
    </w:p>
    <w:p>
      <w:pPr>
        <w:spacing w:after="0" w:line="224" w:lineRule="exact"/>
        <w:rPr>
          <w:rFonts w:ascii="Times New Roman" w:cs="Times New Roman" w:eastAsia="Times New Roman" w:hAnsi="Times New Roman"/>
          <w:sz w:val="18"/>
          <w:szCs w:val="18"/>
          <w:color w:val="auto"/>
        </w:rPr>
      </w:pPr>
    </w:p>
    <w:p>
      <w:pPr>
        <w:jc w:val="both"/>
        <w:ind w:left="1540" w:hanging="514"/>
        <w:spacing w:after="0" w:line="254"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any person who is an “officer” of the Company as defined in Rule 16a-1(f) of the Exchange Act or any person who reports to the Co- Chief Executive Officers and has the title of “Chief Officer” and is the senior most person for the function, and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 subsidiaries of the Company may be deemed executive officers of the Company if they perform such policy making functions for the Company.</w:t>
      </w:r>
    </w:p>
    <w:p>
      <w:pPr>
        <w:spacing w:after="0" w:line="185" w:lineRule="exact"/>
        <w:rPr>
          <w:rFonts w:ascii="Times New Roman" w:cs="Times New Roman" w:eastAsia="Times New Roman" w:hAnsi="Times New Roman"/>
          <w:sz w:val="18"/>
          <w:szCs w:val="18"/>
          <w:color w:val="auto"/>
        </w:rPr>
      </w:pPr>
    </w:p>
    <w:p>
      <w:pPr>
        <w:jc w:val="both"/>
        <w:ind w:left="1540" w:right="20" w:hanging="514"/>
        <w:spacing w:after="0" w:line="265"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77" w:lineRule="exact"/>
        <w:rPr>
          <w:rFonts w:ascii="Times New Roman" w:cs="Times New Roman" w:eastAsia="Times New Roman" w:hAnsi="Times New Roman"/>
          <w:sz w:val="18"/>
          <w:szCs w:val="18"/>
          <w:color w:val="auto"/>
        </w:rPr>
      </w:pPr>
    </w:p>
    <w:p>
      <w:pPr>
        <w:ind w:left="1540" w:hanging="514"/>
        <w:spacing w:after="0" w:line="281"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provided, directly or indirectly, by the Company or any of its subsidiaries that is granted, earned, or vested based, in whole or in part, upon the attainment of a Financial Reporting Measure.</w:t>
      </w:r>
    </w:p>
    <w:p>
      <w:pPr>
        <w:spacing w:after="0" w:line="162" w:lineRule="exact"/>
        <w:rPr>
          <w:rFonts w:ascii="Times New Roman" w:cs="Times New Roman" w:eastAsia="Times New Roman" w:hAnsi="Times New Roman"/>
          <w:sz w:val="18"/>
          <w:szCs w:val="18"/>
          <w:color w:val="auto"/>
        </w:rPr>
      </w:pPr>
    </w:p>
    <w:p>
      <w:pPr>
        <w:jc w:val="both"/>
        <w:ind w:left="1540" w:hanging="514"/>
        <w:spacing w:after="0" w:line="258"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Material Financial Restatement</w:t>
      </w:r>
      <w:r>
        <w:rPr>
          <w:rFonts w:ascii="Times New Roman" w:cs="Times New Roman" w:eastAsia="Times New Roman" w:hAnsi="Times New Roman"/>
          <w:sz w:val="18"/>
          <w:szCs w:val="18"/>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81" w:lineRule="exact"/>
        <w:rPr>
          <w:rFonts w:ascii="Times New Roman" w:cs="Times New Roman" w:eastAsia="Times New Roman" w:hAnsi="Times New Roman"/>
          <w:sz w:val="18"/>
          <w:szCs w:val="18"/>
          <w:color w:val="auto"/>
        </w:rPr>
      </w:pPr>
    </w:p>
    <w:p>
      <w:pPr>
        <w:jc w:val="both"/>
        <w:ind w:left="1540" w:hanging="514"/>
        <w:spacing w:after="0" w:line="260"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means, with respect to a Material Financial Restatement, the earlier to occur of: (i) the date the Board or the Audit Committee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8" w:lineRule="exact"/>
        <w:rPr>
          <w:sz w:val="20"/>
          <w:szCs w:val="20"/>
          <w:color w:val="auto"/>
        </w:rPr>
      </w:pPr>
    </w:p>
    <w:p>
      <w:pPr>
        <w:ind w:left="1020" w:hanging="504"/>
        <w:spacing w:after="0"/>
        <w:tabs>
          <w:tab w:leader="none" w:pos="10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to Compensation Recovery Requirement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 qualified retirement plan to fail to be so qualified under applicable regulations.</w:t>
      </w:r>
    </w:p>
    <w:p>
      <w:pPr>
        <w:spacing w:after="0" w:line="178" w:lineRule="exact"/>
        <w:rPr>
          <w:sz w:val="20"/>
          <w:szCs w:val="20"/>
          <w:color w:val="auto"/>
        </w:rPr>
      </w:pPr>
    </w:p>
    <w:p>
      <w:pPr>
        <w:ind w:left="1020" w:hanging="504"/>
        <w:spacing w:after="0"/>
        <w:tabs>
          <w:tab w:leader="none" w:pos="10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3" w:lineRule="exact"/>
        <w:rPr>
          <w:sz w:val="20"/>
          <w:szCs w:val="20"/>
          <w:color w:val="auto"/>
        </w:rPr>
      </w:pPr>
    </w:p>
    <w:p>
      <w:pPr>
        <w:ind w:left="1020" w:hanging="504"/>
        <w:spacing w:after="0"/>
        <w:tabs>
          <w:tab w:leader="none" w:pos="10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Compensation Recovery</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Committee shall determine, in its sole discretion, the method for recovering Erroneously Awarded Compensation hereunder, which may include, without limitation, any one or more of the following:</w:t>
      </w:r>
    </w:p>
    <w:p>
      <w:pPr>
        <w:spacing w:after="0" w:line="163" w:lineRule="exact"/>
        <w:rPr>
          <w:sz w:val="20"/>
          <w:szCs w:val="20"/>
          <w:color w:val="auto"/>
        </w:rPr>
      </w:pPr>
    </w:p>
    <w:p>
      <w:pPr>
        <w:ind w:left="1540" w:hanging="514"/>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4" w:lineRule="exact"/>
        <w:rPr>
          <w:rFonts w:ascii="Times New Roman" w:cs="Times New Roman" w:eastAsia="Times New Roman" w:hAnsi="Times New Roman"/>
          <w:sz w:val="18"/>
          <w:szCs w:val="18"/>
          <w:color w:val="auto"/>
        </w:rPr>
      </w:pPr>
    </w:p>
    <w:p>
      <w:pPr>
        <w:ind w:left="1540" w:hanging="514"/>
        <w:spacing w:after="0" w:line="281" w:lineRule="auto"/>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21" w:name="page222"/>
    <w:bookmarkEnd w:id="221"/>
    <w:p>
      <w:pPr>
        <w:ind w:left="1540" w:hanging="514"/>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rescinding some or all outstanding vested or unvested equity-based awards;</w:t>
      </w:r>
    </w:p>
    <w:p>
      <w:pPr>
        <w:spacing w:after="0" w:line="22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or withholding from unpaid compensation or other set-off;</w:t>
      </w:r>
    </w:p>
    <w:p>
      <w:pPr>
        <w:spacing w:after="0" w:line="22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setting-off against planned future grants of equity-based awards; and/or</w:t>
      </w:r>
    </w:p>
    <w:p>
      <w:pPr>
        <w:spacing w:after="0" w:line="22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 contract.</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3" w:lineRule="exact"/>
        <w:rPr>
          <w:sz w:val="20"/>
          <w:szCs w:val="20"/>
          <w:color w:val="auto"/>
        </w:rPr>
      </w:pPr>
    </w:p>
    <w:p>
      <w:pPr>
        <w:ind w:left="1020" w:hanging="504"/>
        <w:spacing w:after="0"/>
        <w:tabs>
          <w:tab w:leader="none" w:pos="10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Interpretation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83" w:lineRule="exact"/>
        <w:rPr>
          <w:sz w:val="20"/>
          <w:szCs w:val="20"/>
          <w:color w:val="auto"/>
        </w:rPr>
      </w:pPr>
    </w:p>
    <w:p>
      <w:pPr>
        <w:ind w:left="1020" w:hanging="504"/>
        <w:spacing w:after="0"/>
        <w:tabs>
          <w:tab w:leader="none" w:pos="10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Administration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82" w:lineRule="exact"/>
        <w:rPr>
          <w:sz w:val="20"/>
          <w:szCs w:val="20"/>
          <w:color w:val="auto"/>
        </w:rPr>
      </w:pPr>
    </w:p>
    <w:p>
      <w:pPr>
        <w:ind w:left="1020" w:hanging="504"/>
        <w:spacing w:after="0"/>
        <w:tabs>
          <w:tab w:leader="none" w:pos="10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Repayments not Subject to Indemnification</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22" w:name="page223"/>
    <w:bookmarkEnd w:id="2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lvl w:ilvl="1">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1."/>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a"/>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lowerLetter"/>
      <w:start w:val="2"/>
    </w:lvl>
  </w:abstractNum>
  <w:abstractNum w:abstractNumId="70">
    <w:nsid w:val="6A3DD3E8"/>
    <w:multiLevelType w:val="hybridMultilevel"/>
    <w:lvl w:ilvl="0">
      <w:lvlJc w:val="left"/>
      <w:lvlText w:val="*"/>
      <w:numFmt w:val="bullet"/>
      <w:start w:val="1"/>
    </w:lvl>
    <w:lvl w:ilvl="1">
      <w:lvlJc w:val="left"/>
      <w:lvlText w:val="%2"/>
      <w:numFmt w:val="decimal"/>
      <w:start w:val="104"/>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1)"/>
      <w:numFmt w:val="lowerLetter"/>
      <w:start w:val="3"/>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1."/>
      <w:numFmt w:val="decimal"/>
      <w:start w:val="16"/>
    </w:lvl>
  </w:abstractNum>
  <w:abstractNum w:abstractNumId="76">
    <w:nsid w:val="1D545C4D"/>
    <w:multiLevelType w:val="hybridMultilevel"/>
    <w:lvl w:ilvl="0">
      <w:lvlJc w:val="left"/>
      <w:lvlText w:val="%1."/>
      <w:numFmt w:val="decimal"/>
      <w:start w:val="1"/>
    </w:lvl>
    <w:lvl w:ilvl="1">
      <w:lvlJc w:val="left"/>
      <w:lvlText w:val="(%2)"/>
      <w:numFmt w:val="lowerLetter"/>
      <w:start w:val="2"/>
    </w:lvl>
  </w:abstractNum>
  <w:abstractNum w:abstractNumId="77">
    <w:nsid w:val="59ADEA3D"/>
    <w:multiLevelType w:val="hybridMultilevel"/>
    <w:lvl w:ilvl="0">
      <w:lvlJc w:val="left"/>
      <w:lvlText w:val="%1."/>
      <w:numFmt w:val="decimal"/>
      <w:start w:val="4"/>
    </w:lvl>
  </w:abstractNum>
  <w:abstractNum w:abstractNumId="78">
    <w:nsid w:val="288F1A34"/>
    <w:multiLevelType w:val="hybridMultilevel"/>
    <w:lvl w:ilvl="0">
      <w:lvlJc w:val="left"/>
      <w:lvlText w:val="%1."/>
      <w:numFmt w:val="decimal"/>
      <w:start w:val="1"/>
    </w:lvl>
    <w:lvl w:ilvl="1">
      <w:lvlJc w:val="left"/>
      <w:lvlText w:val="(%2)"/>
      <w:numFmt w:val="lowerLetter"/>
      <w:start w:val="1"/>
    </w:lvl>
  </w:abstractNum>
  <w:abstractNum w:abstractNumId="79">
    <w:nsid w:val="2A155DBC"/>
    <w:multiLevelType w:val="hybridMultilevel"/>
    <w:lvl w:ilvl="0">
      <w:lvlJc w:val="left"/>
      <w:lvlText w:val="(%1)"/>
      <w:numFmt w:val="lowerLetter"/>
      <w:start w:val="2"/>
    </w:lvl>
  </w:abstractNum>
  <w:abstractNum w:abstractNumId="80">
    <w:nsid w:val="1D9F6E5F"/>
    <w:multiLevelType w:val="hybridMultilevel"/>
    <w:lvl w:ilvl="0">
      <w:lvlJc w:val="left"/>
      <w:lvlText w:val="(%1)"/>
      <w:numFmt w:val="lowerLetter"/>
      <w:start w:val="4"/>
    </w:lvl>
  </w:abstractNum>
  <w:abstractNum w:abstractNumId="81">
    <w:nsid w:val="97E1B4E"/>
    <w:multiLevelType w:val="hybridMultilevel"/>
    <w:lvl w:ilvl="0">
      <w:lvlJc w:val="left"/>
      <w:lvlText w:val="(%1)"/>
      <w:numFmt w:val="lowerLetter"/>
      <w:start w:val="6"/>
    </w:lvl>
  </w:abstractNum>
  <w:abstractNum w:abstractNumId="82">
    <w:nsid w:val="51088277"/>
    <w:multiLevelType w:val="hybridMultilevel"/>
    <w:lvl w:ilvl="0">
      <w:lvlJc w:val="left"/>
      <w:lvlText w:val="%1."/>
      <w:numFmt w:val="decimal"/>
      <w:start w:val="3"/>
    </w:lvl>
  </w:abstractNum>
  <w:abstractNum w:abstractNumId="83">
    <w:nsid w:val="1CA0C5FA"/>
    <w:multiLevelType w:val="hybridMultilevel"/>
    <w:lvl w:ilvl="0">
      <w:lvlJc w:val="left"/>
      <w:lvlText w:val="(%1)"/>
      <w:numFmt w:val="lowerLetter"/>
      <w:start w:val="1"/>
    </w:lvl>
  </w:abstractNum>
  <w:abstractNum w:abstractNumId="84">
    <w:nsid w:val="53584BCB"/>
    <w:multiLevelType w:val="hybridMultilevel"/>
    <w:lvl w:ilvl="0">
      <w:lvlJc w:val="left"/>
      <w:lvlText w:val="(%1)"/>
      <w:numFmt w:val="lowerLetter"/>
      <w:start w:val="3"/>
    </w:lvl>
    <w:lvl w:ilvl="1">
      <w:lvlJc w:val="left"/>
      <w:lvlText w:val="(%2)"/>
      <w:numFmt w:val="lowerRoman"/>
      <w:start w:val="1"/>
    </w:lvl>
  </w:abstractNum>
  <w:abstractNum w:abstractNumId="85">
    <w:nsid w:val="415E286C"/>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86">
    <w:nsid w:val="7C58FD05"/>
    <w:multiLevelType w:val="hybridMultilevel"/>
    <w:lvl w:ilvl="0">
      <w:lvlJc w:val="left"/>
      <w:lvlText w:val="%1."/>
      <w:numFmt w:val="lowerRoman"/>
      <w:start w:val="1"/>
    </w:lvl>
  </w:abstractNum>
  <w:abstractNum w:abstractNumId="87">
    <w:nsid w:val="23D86AAC"/>
    <w:multiLevelType w:val="hybridMultilevel"/>
    <w:lvl w:ilvl="0">
      <w:lvlJc w:val="left"/>
      <w:lvlText w:val="%1."/>
      <w:numFmt w:val="decimal"/>
      <w:start w:val="4"/>
    </w:lvl>
    <w:lvl w:ilvl="1">
      <w:lvlJc w:val="left"/>
      <w:lvlText w:val="%2."/>
      <w:numFmt w:val="lowerLetter"/>
      <w:start w:val="1"/>
    </w:lvl>
  </w:abstractNum>
  <w:abstractNum w:abstractNumId="88">
    <w:nsid w:val="45E6D486"/>
    <w:multiLevelType w:val="hybridMultilevel"/>
    <w:lvl w:ilvl="0">
      <w:lvlJc w:val="left"/>
      <w:lvlText w:val="%1"/>
      <w:numFmt w:val="decimal"/>
      <w:start w:val="1"/>
    </w:lvl>
    <w:lvl w:ilvl="1">
      <w:lvlJc w:val="left"/>
      <w:lvlText w:val="%2."/>
      <w:numFmt w:val="lowerLetter"/>
      <w:start w:val="3"/>
    </w:lvl>
  </w:abstractNum>
  <w:abstractNum w:abstractNumId="89">
    <w:nsid w:val="5C10FE21"/>
    <w:multiLevelType w:val="hybridMultilevel"/>
    <w:lvl w:ilvl="0">
      <w:lvlJc w:val="left"/>
      <w:lvlText w:val="%1."/>
      <w:numFmt w:val="decimal"/>
      <w:start w:val="5"/>
    </w:lvl>
    <w:lvl w:ilvl="1">
      <w:lvlJc w:val="left"/>
      <w:lvlText w:val="%2."/>
      <w:numFmt w:val="lowerLetter"/>
      <w:start w:val="1"/>
    </w:lvl>
  </w:abstractNum>
  <w:abstractNum w:abstractNumId="90">
    <w:nsid w:val="E7FFA2B"/>
    <w:multiLevelType w:val="hybridMultilevel"/>
    <w:lvl w:ilvl="0">
      <w:lvlJc w:val="left"/>
      <w:lvlText w:val="%1."/>
      <w:numFmt w:val="lowerLetter"/>
      <w:start w:val="2"/>
    </w:lvl>
  </w:abstractNum>
  <w:abstractNum w:abstractNumId="91">
    <w:nsid w:val="3C5991AA"/>
    <w:multiLevelType w:val="hybridMultilevel"/>
    <w:lvl w:ilvl="0">
      <w:lvlJc w:val="left"/>
      <w:lvlText w:val="%1."/>
      <w:numFmt w:val="decimal"/>
      <w:start w:val="6"/>
    </w:lvl>
    <w:lvl w:ilvl="1">
      <w:lvlJc w:val="left"/>
      <w:lvlText w:val="(%2)"/>
      <w:numFmt w:val="lowerRoman"/>
      <w:start w:val="2"/>
    </w:lvl>
  </w:abstractNum>
  <w:abstractNum w:abstractNumId="92">
    <w:nsid w:val="4BD8591A"/>
    <w:multiLevelType w:val="hybridMultilevel"/>
    <w:lvl w:ilvl="0">
      <w:lvlJc w:val="left"/>
      <w:lvlText w:val="%1."/>
      <w:numFmt w:val="lowerLetter"/>
      <w:start w:val="1"/>
    </w:lvl>
    <w:lvl w:ilvl="1">
      <w:lvlJc w:val="left"/>
      <w:lvlText w:val="%2."/>
      <w:numFmt w:val="lowerRoman"/>
      <w:start w:val="1"/>
    </w:lvl>
  </w:abstractNum>
  <w:abstractNum w:abstractNumId="93">
    <w:nsid w:val="78DF6A5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94">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95">
    <w:nsid w:val="2B0D8DB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6">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7">
    <w:nsid w:val="379E21B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8">
    <w:nsid w:val="69E37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99">
    <w:nsid w:val="2C27173B"/>
    <w:multiLevelType w:val="hybridMultilevel"/>
    <w:lvl w:ilvl="0">
      <w:lvlJc w:val="left"/>
      <w:lvlText w:val="%1"/>
      <w:numFmt w:val="decimal"/>
      <w:start w:val="1"/>
    </w:lvl>
    <w:lvl w:ilvl="1">
      <w:lvlJc w:val="left"/>
      <w:lvlText w:val="%2."/>
      <w:numFmt w:val="lowerLetter"/>
      <w:start w:val="4"/>
    </w:lvl>
  </w:abstractNum>
  <w:abstractNum w:abstractNumId="100">
    <w:nsid w:val="4C9B0904"/>
    <w:multiLevelType w:val="hybridMultilevel"/>
    <w:lvl w:ilvl="0">
      <w:lvlJc w:val="left"/>
      <w:lvlText w:val="%1."/>
      <w:numFmt w:val="decimal"/>
      <w:start w:val="9"/>
    </w:lvl>
    <w:lvl w:ilvl="1">
      <w:lvlJc w:val="left"/>
      <w:lvlText w:val="%2."/>
      <w:numFmt w:val="lowerLetter"/>
      <w:start w:val="1"/>
    </w:lvl>
  </w:abstractNum>
  <w:abstractNum w:abstractNumId="101">
    <w:nsid w:val="6AA7B75C"/>
    <w:multiLevelType w:val="hybridMultilevel"/>
    <w:lvl w:ilvl="0">
      <w:lvlJc w:val="left"/>
      <w:lvlText w:val="%1"/>
      <w:numFmt w:val="decimal"/>
      <w:start w:val="1"/>
    </w:lvl>
    <w:lvl w:ilvl="1">
      <w:lvlJc w:val="left"/>
      <w:lvlText w:val="%2."/>
      <w:numFmt w:val="lowerLetter"/>
      <w:start w:val="3"/>
    </w:lvl>
  </w:abstractNum>
  <w:abstractNum w:abstractNumId="102">
    <w:nsid w:val="1DF029D3"/>
    <w:multiLevelType w:val="hybridMultilevel"/>
    <w:lvl w:ilvl="0">
      <w:lvlJc w:val="left"/>
      <w:lvlText w:val="%1."/>
      <w:numFmt w:val="decimal"/>
      <w:start w:val="10"/>
    </w:lvl>
    <w:lvl w:ilvl="1">
      <w:lvlJc w:val="left"/>
      <w:lvlText w:val="%2."/>
      <w:numFmt w:val="lowerLetter"/>
      <w:start w:val="1"/>
    </w:lvl>
  </w:abstractNum>
  <w:abstractNum w:abstractNumId="103">
    <w:nsid w:val="5675FF36"/>
    <w:multiLevelType w:val="hybridMultilevel"/>
    <w:lvl w:ilvl="0">
      <w:lvlJc w:val="left"/>
      <w:lvlText w:val="%1."/>
      <w:numFmt w:val="lowerLetter"/>
      <w:start w:val="2"/>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1"/>
      <w:numFmt w:val="decimal"/>
      <w:start w:val="1"/>
    </w:lvl>
    <w:lvl w:ilvl="1">
      <w:lvlJc w:val="left"/>
      <w:lvlText w:val="%2."/>
      <w:numFmt w:val="lowerLetter"/>
      <w:start w:val="10"/>
    </w:lvl>
  </w:abstractNum>
  <w:abstractNum w:abstractNumId="106">
    <w:nsid w:val="2708C9AF"/>
    <w:multiLevelType w:val="hybridMultilevel"/>
    <w:lvl w:ilvl="0">
      <w:lvlJc w:val="left"/>
      <w:lvlText w:val="%1."/>
      <w:numFmt w:val="decimal"/>
      <w:start w:val="12"/>
    </w:lvl>
    <w:lvl w:ilvl="1">
      <w:lvlJc w:val="left"/>
      <w:lvlText w:val="%2"/>
      <w:numFmt w:val="lowerLetter"/>
      <w:start w:val="1"/>
    </w:lvl>
  </w:abstractNum>
  <w:abstractNum w:abstractNumId="107">
    <w:nsid w:val="5B25ACE2"/>
    <w:multiLevelType w:val="hybridMultilevel"/>
    <w:lvl w:ilvl="0">
      <w:lvlJc w:val="left"/>
      <w:lvlText w:val="%1."/>
      <w:numFmt w:val="decimal"/>
      <w:start w:val="15"/>
    </w:lvl>
  </w:abstractNum>
  <w:abstractNum w:abstractNumId="108">
    <w:nsid w:val="175DFCF0"/>
    <w:multiLevelType w:val="hybridMultilevel"/>
    <w:lvl w:ilvl="0">
      <w:lvlJc w:val="left"/>
      <w:lvlText w:val="%1."/>
      <w:numFmt w:val="decimal"/>
      <w:start w:val="22"/>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decimal"/>
      <w:start w:val="4"/>
    </w:lvl>
  </w:abstractNum>
  <w:abstractNum w:abstractNumId="111">
    <w:nsid w:val="34FD6B4F"/>
    <w:multiLevelType w:val="hybridMultilevel"/>
    <w:lvl w:ilvl="0">
      <w:lvlJc w:val="left"/>
      <w:lvlText w:val="%1."/>
      <w:numFmt w:val="decimal"/>
      <w:start w:val="6"/>
    </w:lvl>
  </w:abstractNum>
  <w:abstractNum w:abstractNumId="112">
    <w:nsid w:val="5915FF32"/>
    <w:multiLevelType w:val="hybridMultilevel"/>
    <w:lvl w:ilvl="0">
      <w:lvlJc w:val="left"/>
      <w:lvlText w:val="%1."/>
      <w:numFmt w:val="decimal"/>
      <w:start w:val="7"/>
    </w:lvl>
  </w:abstractNum>
  <w:abstractNum w:abstractNumId="113">
    <w:nsid w:val="56438D15"/>
    <w:multiLevelType w:val="hybridMultilevel"/>
    <w:lvl w:ilvl="0">
      <w:lvlJc w:val="left"/>
      <w:lvlText w:val="%1."/>
      <w:numFmt w:val="decimal"/>
      <w:start w:val="8"/>
    </w:lvl>
  </w:abstractNum>
  <w:abstractNum w:abstractNumId="114">
    <w:nsid w:val="519E3149"/>
    <w:multiLevelType w:val="hybridMultilevel"/>
    <w:lvl w:ilvl="0">
      <w:lvlJc w:val="left"/>
      <w:lvlText w:val="%1."/>
      <w:numFmt w:val="decimal"/>
      <w:start w:val="13"/>
    </w:lvl>
  </w:abstractNum>
  <w:abstractNum w:abstractNumId="115">
    <w:nsid w:val="2C6E4AFD"/>
    <w:multiLevelType w:val="hybridMultilevel"/>
    <w:lvl w:ilvl="0">
      <w:lvlJc w:val="left"/>
      <w:lvlText w:val="%1."/>
      <w:numFmt w:val="decimal"/>
      <w:start w:val="20"/>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1)"/>
      <w:numFmt w:val="lowerLetter"/>
      <w:start w:val="1"/>
    </w:lvl>
    <w:lvl w:ilvl="1">
      <w:lvlJc w:val="left"/>
      <w:lvlText w:val="(%2)"/>
      <w:numFmt w:val="decimal"/>
      <w:start w:val="1"/>
    </w:lvl>
  </w:abstractNum>
  <w:abstractNum w:abstractNumId="119">
    <w:nsid w:val="5D888A08"/>
    <w:multiLevelType w:val="hybridMultilevel"/>
    <w:lvl w:ilvl="0">
      <w:lvlJc w:val="left"/>
      <w:lvlText w:val="(%1)"/>
      <w:numFmt w:val="decimal"/>
      <w:start w:val="1"/>
    </w:lvl>
    <w:lvl w:ilvl="1">
      <w:lvlJc w:val="left"/>
      <w:lvlText w:val="(%2)"/>
      <w:numFmt w:val="lowerLetter"/>
      <w:start w:val="1"/>
    </w:lvl>
  </w:abstractNum>
  <w:abstractNum w:abstractNumId="120">
    <w:nsid w:val="2A082C70"/>
    <w:multiLevelType w:val="hybridMultilevel"/>
    <w:lvl w:ilvl="0">
      <w:lvlJc w:val="left"/>
      <w:lvlText w:val="(%1)"/>
      <w:numFmt w:val="decimal"/>
      <w:start w:val="1"/>
    </w:lvl>
    <w:lvl w:ilvl="1">
      <w:lvlJc w:val="left"/>
      <w:lvlText w:val="(%2)"/>
      <w:numFmt w:val="lowerLetter"/>
      <w:start w:val="1"/>
    </w:lvl>
  </w:abstractNum>
  <w:abstractNum w:abstractNumId="121">
    <w:nsid w:val="5EC6AFD4"/>
    <w:multiLevelType w:val="hybridMultilevel"/>
    <w:lvl w:ilvl="0">
      <w:lvlJc w:val="left"/>
      <w:lvlText w:val="(%1)"/>
      <w:numFmt w:val="decimal"/>
      <w:start w:val="1"/>
    </w:lvl>
    <w:lvl w:ilvl="1">
      <w:lvlJc w:val="left"/>
      <w:lvlText w:val="(%2)"/>
      <w:numFmt w:val="lowerLetter"/>
      <w:start w:val="1"/>
    </w:lvl>
  </w:abstractNum>
  <w:abstractNum w:abstractNumId="122">
    <w:nsid w:val="19E21BB2"/>
    <w:multiLevelType w:val="hybridMultilevel"/>
    <w:lvl w:ilvl="0">
      <w:lvlJc w:val="left"/>
      <w:lvlText w:val="(%1)"/>
      <w:numFmt w:val="decimal"/>
      <w:start w:val="1"/>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2"/>
    </w:lvl>
  </w:abstractNum>
  <w:abstractNum w:abstractNumId="127">
    <w:nsid w:val="4427069A"/>
    <w:multiLevelType w:val="hybridMultilevel"/>
    <w:lvl w:ilvl="0">
      <w:lvlJc w:val="left"/>
      <w:lvlText w:val="%1."/>
      <w:numFmt w:val="decimal"/>
      <w:start w:val="3"/>
    </w:lvl>
    <w:lvl w:ilvl="1">
      <w:lvlJc w:val="left"/>
      <w:lvlText w:val="%2."/>
      <w:numFmt w:val="lowerLetter"/>
      <w:start w:val="1"/>
    </w:lvl>
  </w:abstractNum>
  <w:abstractNum w:abstractNumId="128">
    <w:nsid w:val="B37E80A"/>
    <w:multiLevelType w:val="hybridMultilevel"/>
    <w:lvl w:ilvl="0">
      <w:lvlJc w:val="left"/>
      <w:lvlText w:val="%1."/>
      <w:numFmt w:val="lowerLetter"/>
      <w:start w:val="8"/>
    </w:lvl>
  </w:abstractNum>
  <w:abstractNum w:abstractNumId="129">
    <w:nsid w:val="2157F6BC"/>
    <w:multiLevelType w:val="hybridMultilevel"/>
    <w:lvl w:ilvl="0">
      <w:lvlJc w:val="left"/>
      <w:lvlText w:val="%1."/>
      <w:numFmt w:val="decimal"/>
      <w:start w:val="4"/>
    </w:lvl>
  </w:abstractNum>
  <w:abstractNum w:abstractNumId="130">
    <w:nsid w:val="704E1DD5"/>
    <w:multiLevelType w:val="hybridMultilevel"/>
    <w:lvl w:ilvl="0">
      <w:lvlJc w:val="left"/>
      <w:lvlText w:val="%1."/>
      <w:numFmt w:val="decimal"/>
      <w:start w:val="5"/>
    </w:lvl>
  </w:abstractNum>
  <w:abstractNum w:abstractNumId="131">
    <w:nsid w:val="57D2F10E"/>
    <w:multiLevelType w:val="hybridMultilevel"/>
    <w:lvl w:ilvl="0">
      <w:lvlJc w:val="left"/>
      <w:lvlText w:val="%1."/>
      <w:numFmt w:val="decimal"/>
      <w:start w:val="6"/>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lowerLetter"/>
      <w:start w:val="3"/>
    </w:lvl>
  </w:abstractNum>
  <w:abstractNum w:abstractNumId="134">
    <w:nsid w:val="2E48F044"/>
    <w:multiLevelType w:val="hybridMultilevel"/>
    <w:lvl w:ilvl="0">
      <w:lvlJc w:val="left"/>
      <w:lvlText w:val="%1."/>
      <w:numFmt w:val="decimal"/>
      <w:start w:val="7"/>
    </w:lvl>
  </w:abstractNum>
  <w:abstractNum w:abstractNumId="135">
    <w:nsid w:val="49D0FEAC"/>
    <w:multiLevelType w:val="hybridMultilevel"/>
    <w:lvl w:ilvl="0">
      <w:lvlJc w:val="left"/>
      <w:lvlText w:val="%1."/>
      <w:numFmt w:val="decimal"/>
      <w:start w:val="8"/>
    </w:lvl>
  </w:abstractNum>
  <w:abstractNum w:abstractNumId="136">
    <w:nsid w:val="4BEE5A5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181" Type="http://schemas.openxmlformats.org/officeDocument/2006/relationships/hyperlink" Target="https://www.sec.gov/Archives/edgar/data/1658551/000119312522006731/d273128dex31.htm" TargetMode="External"/><Relationship Id="rId182" Type="http://schemas.openxmlformats.org/officeDocument/2006/relationships/hyperlink" Target="https://www.sec.gov/Archives/edgar/data/1658551/000119312522006731/d273128dex32.htm" TargetMode="External"/><Relationship Id="rId183" Type="http://schemas.openxmlformats.org/officeDocument/2006/relationships/hyperlink" Target="https://www.sec.gov/Archives/edgar/data/1658551/000119312522000260/d155225dex41.htm" TargetMode="External"/><Relationship Id="rId184" Type="http://schemas.openxmlformats.org/officeDocument/2006/relationships/hyperlink" Target="https://www.sec.gov/Archives/edgar/data/1658551/000119312521359405/d155225dex42.htm" TargetMode="External"/><Relationship Id="rId185" Type="http://schemas.openxmlformats.org/officeDocument/2006/relationships/hyperlink" Target="https://www.sec.gov/Archives/edgar/data/1658551/000095017022005157/amlx-ex4_3.htm" TargetMode="External"/><Relationship Id="rId186" Type="http://schemas.openxmlformats.org/officeDocument/2006/relationships/hyperlink" Target="https://www.sec.gov/Archives/edgar/data/1658551/000119312522000260/d155225dex101.htm" TargetMode="External"/><Relationship Id="rId187" Type="http://schemas.openxmlformats.org/officeDocument/2006/relationships/hyperlink" Target="https://www.sec.gov/Archives/edgar/data/1658551/000119312522000260/d155225dex102.htm" TargetMode="External"/><Relationship Id="rId188" Type="http://schemas.openxmlformats.org/officeDocument/2006/relationships/hyperlink" Target="https://www.sec.gov/Archives/edgar/data/1658551/000119312523075821/d452110dex101.htm" TargetMode="External"/><Relationship Id="rId189" Type="http://schemas.openxmlformats.org/officeDocument/2006/relationships/hyperlink" Target="https://www.sec.gov/Archives/edgar/data/1658551/000119312522000260/d155225dex104.htm" TargetMode="External"/><Relationship Id="rId190" Type="http://schemas.openxmlformats.org/officeDocument/2006/relationships/hyperlink" Target="https://www.sec.gov/Archives/edgar/data/1658551/000119312522000260/d155225dex103.htm" TargetMode="External"/><Relationship Id="rId191" Type="http://schemas.openxmlformats.org/officeDocument/2006/relationships/hyperlink" Target="https://www.sec.gov/Archives/edgar/data/1658551/000119312521359405/d155225dex106.htm" TargetMode="External"/><Relationship Id="rId192" Type="http://schemas.openxmlformats.org/officeDocument/2006/relationships/hyperlink" Target="https://www.sec.gov/Archives/edgar/data/1658551/000119312522000260/d155225dex107.htm" TargetMode="External"/><Relationship Id="rId193" Type="http://schemas.openxmlformats.org/officeDocument/2006/relationships/hyperlink" Target="https://www.sec.gov/Archives/edgar/data/1658551/000119312522000260/d155225dex108.htm" TargetMode="External"/><Relationship Id="rId194" Type="http://schemas.openxmlformats.org/officeDocument/2006/relationships/hyperlink" Target="https://www.sec.gov/Archives/edgar/data/1658551/000119312522000260/d155225dex109.htm" TargetMode="External"/><Relationship Id="rId197" Type="http://schemas.openxmlformats.org/officeDocument/2006/relationships/hyperlink" Target="https://www.sec.gov/Archives/edgar/data/1658551/000119312522000260/d155225dex1010.htm" TargetMode="External"/><Relationship Id="rId198" Type="http://schemas.openxmlformats.org/officeDocument/2006/relationships/hyperlink" Target="https://www.sec.gov/Archives/edgar/data/1658551/000119312522000260/d155225dex1011.htm" TargetMode="External"/><Relationship Id="rId199" Type="http://schemas.openxmlformats.org/officeDocument/2006/relationships/hyperlink" Target="https://www.sec.gov/Archives/edgar/data/1658551/000119312522299375/d356648dex101.htm" TargetMode="External"/><Relationship Id="rId200" Type="http://schemas.openxmlformats.org/officeDocument/2006/relationships/hyperlink" Target="https://www.sec.gov/Archives/edgar/data/1658551/000095017023007609/amlx-ex10_18.htm" TargetMode="External"/><Relationship Id="rId201" Type="http://schemas.openxmlformats.org/officeDocument/2006/relationships/hyperlink" Target="https://www.sec.gov/Archives/edgar/data/1658551/000119312521359405/d155225dex1013.htm" TargetMode="External"/><Relationship Id="rId202" Type="http://schemas.openxmlformats.org/officeDocument/2006/relationships/hyperlink" Target="https://www.sec.gov/Archives/edgar/data/1658551/000119312521359405/d155225dex1014.htm" TargetMode="External"/><Relationship Id="rId203" Type="http://schemas.openxmlformats.org/officeDocument/2006/relationships/hyperlink" Target="https://www.sec.gov/Archives/edgar/data/1658551/000095017023021369/amlx-ex10_2.htm" TargetMode="External"/><Relationship Id="rId204" Type="http://schemas.openxmlformats.org/officeDocument/2006/relationships/hyperlink" Target="https://www.sec.gov/Archives/edgar/data/1658551/000095017023021369/amlx-ex10_3.htm" TargetMode="External"/><Relationship Id="rId205" Type="http://schemas.openxmlformats.org/officeDocument/2006/relationships/hyperlink" Target="https://www.sec.gov/Archives/edgar/data/1658551/000119312521359405/d155225dex1015.htm" TargetMode="External"/><Relationship Id="rId206" Type="http://schemas.openxmlformats.org/officeDocument/2006/relationships/hyperlink" Target="https://www.sec.gov/Archives/edgar/data/1658551/000095017023021369/amlx-ex10_4.htm" TargetMode="External"/><Relationship Id="rId207" Type="http://schemas.openxmlformats.org/officeDocument/2006/relationships/hyperlink" Target="https://www.sec.gov/Archives/edgar/data/1658551/000119312521359405/d155225dex1016.htm" TargetMode="External"/><Relationship Id="rId208" Type="http://schemas.openxmlformats.org/officeDocument/2006/relationships/hyperlink" Target="https://www.sec.gov/Archives/edgar/data/1658551/000095017023041335/aml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2024-02-22T07:31:51Z</dcterms:created>
  <dcterms:modified xsi:type="dcterms:W3CDTF">2024-02-22T07:31:51Z</dcterms:modified>
</cp:coreProperties>
</file>