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mlx-20260630.htm"/>
      <w:bookmarkStart w:id="1" w:name="ksamlx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___________________ to ___________________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001-41199</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Amylyx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247" w:type="dxa"/>
        <w:jc w:val="left"/>
        <w:tblInd w:w="0" w:type="dxa"/>
        <w:tblLayout w:type="fixed"/>
        <w:tblCellMar>
          <w:top w:w="28" w:type="dxa"/>
          <w:left w:w="28" w:type="dxa"/>
          <w:bottom w:w="28" w:type="dxa"/>
          <w:right w:w="28" w:type="dxa"/>
        </w:tblCellMar>
      </w:tblPr>
      <w:tblGrid>
        <w:gridCol w:w="3001"/>
        <w:gridCol w:w="1246"/>
      </w:tblGrid>
      <w:tr>
        <w:trPr/>
        <w:tc>
          <w:tcPr>
            <w:tcW w:w="300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46-4600503</w:t>
            </w:r>
          </w:p>
        </w:tc>
      </w:tr>
      <w:tr>
        <w:trPr/>
        <w:tc>
          <w:tcPr>
            <w:tcW w:w="30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00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55 Cambridge Parkway, Suite 6W</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Massachusetts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02142</w:t>
            </w:r>
          </w:p>
        </w:tc>
      </w:tr>
      <w:tr>
        <w:trPr/>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(617) 682-0917</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(Former name, former address and former fiscal year, if changed since last report)</w:t>
      </w:r>
    </w:p>
    <w:p>
      <w:pPr>
        <w:pStyle w:val="TextBody"/>
        <w:pBdr>
          <w:bottom w:val="single" w:sz="4" w:space="1" w:color="000000"/>
        </w:pBdr>
        <w:bidi w:val="0"/>
        <w:spacing w:before="4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AMLX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Nasdaq</w:t>
            </w:r>
            <w:r>
              <w:rPr>
                <w:rFonts w:ascii="Times New Roman" w:hAnsi="Times New Roman"/>
                <w:color w:val="000000"/>
                <w:sz w:val="20"/>
              </w:rPr>
              <w:t> </w:t>
            </w:r>
            <w:r>
              <w:rPr>
                <w:rFonts w:ascii="Times New Roman" w:hAnsi="Times New Roman"/>
                <w:color w:val="000000"/>
                <w:sz w:val="18"/>
              </w:rPr>
              <w:t>Global Select Stock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July 27, 2026, the registrant had 111,423,048</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AMYLYX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QUARTERLY REPORT ON FORM 10-Q</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_stmt_of_operations">
              <w:r>
                <w:rPr>
                  <w:rStyle w:val="InternetLink"/>
                  <w:rFonts w:ascii="Times New Roman" w:hAnsi="Times New Roman"/>
                  <w:color w:val="0000FF"/>
                  <w:sz w:val="20"/>
                  <w:u w:val="single"/>
                </w:rPr>
                <w:t>Condensed 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mt_of_comp_loss">
              <w:r>
                <w:rPr>
                  <w:rStyle w:val="InternetLink"/>
                  <w:rFonts w:ascii="Times New Roman" w:hAnsi="Times New Roman"/>
                  <w:color w:val="0000FF"/>
                  <w:sz w:val="20"/>
                  <w:u w:val="single"/>
                </w:rPr>
                <w:t>Condensed Consolidated Statements of Comprehensive Loss</w:t>
              </w:r>
            </w:hyperlink>
            <w:hyperlink w:anchor="condensed_consolidated_stmt_of_comp_loss">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_stmt_of_convertible_pr">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_stmt_of_cash_flows">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_financial_stmt">
              <w:r>
                <w:rPr>
                  <w:rStyle w:val="InternetLink"/>
                  <w:rFonts w:ascii="Times New Roman" w:hAnsi="Times New Roman"/>
                  <w:color w:val="0000FF"/>
                  <w:sz w:val="20"/>
                  <w:u w:val="single"/>
                </w:rPr>
                <w:t>Notes to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_discussion_and_analys">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_disc">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FF"/>
                <w:sz w:val="20"/>
                <w:u w:val="single"/>
              </w:rPr>
            </w:pPr>
            <w:r>
              <w:rPr>
                <w:rFonts w:ascii="Times New Roman" w:hAnsi="Times New Roman"/>
                <w:b/>
                <w:color w:val="0000FF"/>
                <w:sz w:val="20"/>
                <w:u w:val="single"/>
              </w:rPr>
              <w:t>OTHER INFORMATION</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_1">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_1">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_secu">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From time to time, we may use our website or our LinkedIn profile at www.linkedin.com/company/amylyx to distribute material information. Our financial and other material information is routinely posted to and accessible on the Investors section of our website, available at www.amylyx.com. Investors are encouraged to review the Investors section of our website because we may post material information on that site that is not otherwise disseminated by us. Information that is contained in and can be accessed through our website or our LinkedIn page is not incorporated into, and does not form a part of, this Quarterly Report on Form 10-Q.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or Quarterly Report, contains forward-looking statements which are made pursuant to the safe harbor provisions of Section 27A of the Securities Act of 1933, as amended, or the Securities Act, and Section 21E of the Securities Exchange Act of 1934, as amended, or the Exchange Act. All statements other than statements of historical facts contained in this Quarterly Report are forward-looking statements. In some cases, you can identify forward-looking statements by terminology such as “anticipate,” “believe,” “continue,” “could,” “estimate,” “expect,” “intend,” “may,” “plan,” “potential,” “predict,” “project,” “should,” “target,” “would” or the negative of these terms or other comparable terminology. These statements are not guarantees of future results or performance and involve substantial risks and uncertainties. Forward-looking statements in this Quarterly Report include, but are not limited to, express or implied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regulatory approvals of avexitide in post-bariatric hypoglycemia, or PBH, or any other indications, or AMX0035 in Wolfram syndrome, or any other indications, or any other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progress and results of our research and development activities, preclinical studies and clinical trials, including the Phase 3 clinical program for avexitide in PBH, known as the LUCIDITY trial, our Phase 1 clinical trial of AMX0114 for the treatment of amyotrophic lateral sclerosis, or ALS, known as the LUMINA trial, our preclinical research for AMX0318 in PBH and other rare diseases, as well as any other development efforts, preclinical studies and clinical trials for our current and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commercialize and market our product candidates, if approved, and the timing of any commercialization and marketing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contract with third-party suppliers, manufacturers and other service providers and their ability to perform adequately and to produce sufficient quantities of clinical and, if needed, commercial supplies;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size, opportunity, demand and growth potential for our current and any future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build and maintain our own sales and marketing capabilities, or seek collaborative partners, to commercialize our current and any future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funding for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retain the continued service of our key executives and to identify, hire and retain additional qualified professionals;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complete our ongoing or planned clinical trials of avexitide, AMX0035 and AMX0114, successfully complete our ongoing or planned investigational new drug, or IND, enabling studies of AMX0318, and to advance any other current or future product candidates into, and successfully complete,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recruit and enroll suitable patients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or likelihood of the accomplishment of various scientific, clinical, regulatory filings and approvals and other product development objectives;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of avexitide, AMX0035, AMX0114, AMX0318 and any other current or future product candidates, if approved, by physicians, patients, third-party payors and others in the medical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our business model and strategic plans for our business, products, product candidates and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evaluate, in-license and develop additional products or product candidates to complement our existing pipeline and our ability to successfully incorporate acquired assets into our existing pipeline;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products, product candidates and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relating to our competitors and our industry, including any regulatory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potential future revenue, capital requirements, cash runway and future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of our quarterly and annual operating results and the related effects on our stock price;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unfavorable macroeconomic conditions or market volatility resulting from global economic conditions or geopolitical developments, including fluctuating interest rates, inflation, changes in governmental agencies, government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shutdowns, international tariffs, trade protection measures, economic sanctions and potential economic slowdowns or recessions, or similar events, on our business;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period during which we qualify as a “smaller reporting company” as defined by Rule 12b-2 of the Exchange Act;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statements about future events, including those listed under the section titled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forward-looking statements in this Quarterly Report reflect our current views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the section titled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our forward-looking statements are as of the date of this Quarterly Report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or included in our other public disclosures or our other periodic reports or other documents or filings filed with or furnished to the Securities and Exchange Commission, or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even if such results, changes or circumstances make it clear that any forward-looking information will not be realized. Any public statements or disclosures by us following this Quarterly Report that modify or impact any of the forward-looking statements contained in this Quarterly Report will be deemed to modify or supersede such statements in this Quarterly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Quarterly Report.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TRADEMARKS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Solely for convenience, our trademarks and trade names in this report are referred to without the ® and  symbols, but such references should not be construed as any indicator that we will not assert, to the fullest extent under applicable law, our rights thereto.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otherwise indicated, the terms “Amylyx,” “the Company,” “we,” “us,” and “our” refer to Amylyx Pharmaceuticals, Inc. and its consolidated subsidiaries, unless the context otherwise requires.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sz w:val="20"/>
        </w:rPr>
      </w:pPr>
      <w:r>
        <w:rPr>
          <w:rFonts w:ascii="Times New Roman" w:hAnsi="Times New Roman"/>
          <w:b/>
          <w:color w:val="000000"/>
          <w:sz w:val="20"/>
        </w:rPr>
        <w:t>AMYLYX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38"/>
        <w:gridCol w:w="146"/>
        <w:gridCol w:w="206"/>
        <w:gridCol w:w="870"/>
        <w:gridCol w:w="166"/>
        <w:gridCol w:w="146"/>
        <w:gridCol w:w="237"/>
        <w:gridCol w:w="1002"/>
        <w:gridCol w:w="794"/>
      </w:tblGrid>
      <w:tr>
        <w:trPr/>
        <w:tc>
          <w:tcPr>
            <w:tcW w:w="6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6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226,651</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90,328</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6,692</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323,671</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985</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5,181</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Deposits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2,498</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264,564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332,645</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3,519</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17,910</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1,259</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22,688</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4,698</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27,386</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$0.0001</w:t>
            </w:r>
            <w:r>
              <w:rPr>
                <w:rFonts w:ascii="Times New Roman" w:hAnsi="Times New Roman"/>
                <w:color w:val="000000"/>
                <w:sz w:val="20"/>
              </w:rPr>
              <w:t> </w:t>
            </w:r>
            <w:r>
              <w:rPr>
                <w:rFonts w:ascii="Times New Roman" w:hAnsi="Times New Roman"/>
                <w:color w:val="000000"/>
                <w:sz w:val="18"/>
              </w:rPr>
              <w:t>par value; 10,000,000</w:t>
            </w:r>
            <w:r>
              <w:rPr>
                <w:rFonts w:ascii="Times New Roman" w:hAnsi="Times New Roman"/>
                <w:color w:val="000000"/>
                <w:sz w:val="20"/>
              </w:rPr>
              <w:t> </w:t>
            </w:r>
            <w:r>
              <w:rPr>
                <w:rFonts w:ascii="Times New Roman" w:hAnsi="Times New Roman"/>
                <w:color w:val="000000"/>
                <w:sz w:val="18"/>
              </w:rPr>
              <w:t>shares authorized; no</w:t>
            </w:r>
            <w:r>
              <w:rPr>
                <w:rFonts w:ascii="Times New Roman" w:hAnsi="Times New Roman"/>
                <w:color w:val="000000"/>
                <w:sz w:val="20"/>
              </w:rPr>
              <w:t> </w:t>
            </w:r>
            <w:r>
              <w:rPr>
                <w:rFonts w:ascii="Times New Roman" w:hAnsi="Times New Roman"/>
                <w:color w:val="000000"/>
                <w:sz w:val="18"/>
              </w:rPr>
              <w:t>shares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300,000,000</w:t>
            </w:r>
            <w:r>
              <w:rPr>
                <w:rFonts w:ascii="Times New Roman" w:hAnsi="Times New Roman"/>
                <w:color w:val="000000"/>
                <w:sz w:val="20"/>
              </w:rPr>
              <w:t> </w:t>
            </w:r>
            <w:r>
              <w:rPr>
                <w:rFonts w:ascii="Times New Roman" w:hAnsi="Times New Roman"/>
                <w:color w:val="000000"/>
                <w:sz w:val="18"/>
              </w:rPr>
              <w:t>shares authorized; 111,368,283</w:t>
            </w:r>
            <w:r>
              <w:rPr>
                <w:rFonts w:ascii="Times New Roman" w:hAnsi="Times New Roman"/>
                <w:color w:val="000000"/>
                <w:sz w:val="20"/>
              </w:rPr>
              <w:t> </w:t>
            </w:r>
            <w:r>
              <w:rPr>
                <w:rFonts w:ascii="Times New Roman" w:hAnsi="Times New Roman"/>
                <w:color w:val="000000"/>
                <w:sz w:val="18"/>
              </w:rPr>
              <w:t>and 109,884,502</w:t>
            </w:r>
            <w:r>
              <w:rPr>
                <w:rFonts w:ascii="Times New Roman" w:hAnsi="Times New Roman"/>
                <w:color w:val="000000"/>
                <w:sz w:val="20"/>
              </w:rPr>
              <w:t> </w:t>
            </w:r>
            <w:r>
              <w:rPr>
                <w:rFonts w:ascii="Times New Roman" w:hAnsi="Times New Roman"/>
                <w:color w:val="000000"/>
                <w:sz w:val="18"/>
              </w:rPr>
              <w:t>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1,075,271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1,056,271</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(751,427</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305,259</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3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264,564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332,645</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AMYLYX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_stmt_of_operations"/>
      <w:bookmarkEnd w:id="5"/>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84"/>
        <w:gridCol w:w="146"/>
        <w:gridCol w:w="196"/>
        <w:gridCol w:w="1006"/>
        <w:gridCol w:w="166"/>
        <w:gridCol w:w="146"/>
        <w:gridCol w:w="196"/>
        <w:gridCol w:w="916"/>
        <w:gridCol w:w="166"/>
        <w:gridCol w:w="146"/>
        <w:gridCol w:w="196"/>
        <w:gridCol w:w="1006"/>
        <w:gridCol w:w="166"/>
        <w:gridCol w:w="146"/>
        <w:gridCol w:w="196"/>
        <w:gridCol w:w="916"/>
        <w:gridCol w:w="611"/>
      </w:tblGrid>
      <w:tr>
        <w:trPr/>
        <w:tc>
          <w:tcPr>
            <w:tcW w:w="3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31,324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80,660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(80,660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8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(77,350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shares used in computing net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111,196,883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89,138,568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110,881,872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87,427,345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AMYLYX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densed_consolidated_stmt_of_comp_loss"/>
      <w:bookmarkEnd w:id="6"/>
      <w:r>
        <w:rPr>
          <w:rFonts w:ascii="Times New Roman" w:hAnsi="Times New Roman"/>
          <w:b/>
          <w:color w:val="000000"/>
          <w:sz w:val="20"/>
        </w:rPr>
        <w:t>CONDENSED CONSOLIDATED STATEMENTS OF COMPREHENSIVE LOSS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408" w:type="dxa"/>
        <w:jc w:val="left"/>
        <w:tblInd w:w="0" w:type="dxa"/>
        <w:tblLayout w:type="fixed"/>
        <w:tblCellMar>
          <w:top w:w="28" w:type="dxa"/>
          <w:left w:w="28" w:type="dxa"/>
          <w:bottom w:w="28" w:type="dxa"/>
          <w:right w:w="28" w:type="dxa"/>
        </w:tblCellMar>
      </w:tblPr>
      <w:tblGrid>
        <w:gridCol w:w="3861"/>
        <w:gridCol w:w="146"/>
        <w:gridCol w:w="236"/>
        <w:gridCol w:w="798"/>
        <w:gridCol w:w="200"/>
        <w:gridCol w:w="176"/>
        <w:gridCol w:w="236"/>
        <w:gridCol w:w="798"/>
        <w:gridCol w:w="166"/>
        <w:gridCol w:w="146"/>
        <w:gridCol w:w="216"/>
        <w:gridCol w:w="729"/>
        <w:gridCol w:w="183"/>
        <w:gridCol w:w="161"/>
        <w:gridCol w:w="216"/>
        <w:gridCol w:w="729"/>
        <w:gridCol w:w="411"/>
      </w:tblGrid>
      <w:tr>
        <w:trPr/>
        <w:tc>
          <w:tcPr>
            <w:tcW w:w="3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(43,423</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(84,707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(77,350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translation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(43,644</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(85,092</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(76,707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AMYLYX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_stmt_of_convertible_pr"/>
      <w:bookmarkEnd w:id="7"/>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405" w:type="dxa"/>
        <w:jc w:val="left"/>
        <w:tblInd w:w="0" w:type="dxa"/>
        <w:tblLayout w:type="fixed"/>
        <w:tblCellMar>
          <w:top w:w="28" w:type="dxa"/>
          <w:left w:w="28" w:type="dxa"/>
          <w:bottom w:w="28" w:type="dxa"/>
          <w:right w:w="28" w:type="dxa"/>
        </w:tblCellMar>
      </w:tblPr>
      <w:tblGrid>
        <w:gridCol w:w="2941"/>
        <w:gridCol w:w="146"/>
        <w:gridCol w:w="146"/>
        <w:gridCol w:w="706"/>
        <w:gridCol w:w="146"/>
        <w:gridCol w:w="146"/>
        <w:gridCol w:w="170"/>
        <w:gridCol w:w="356"/>
        <w:gridCol w:w="146"/>
        <w:gridCol w:w="146"/>
        <w:gridCol w:w="166"/>
        <w:gridCol w:w="586"/>
        <w:gridCol w:w="146"/>
        <w:gridCol w:w="146"/>
        <w:gridCol w:w="296"/>
        <w:gridCol w:w="620"/>
        <w:gridCol w:w="151"/>
        <w:gridCol w:w="146"/>
        <w:gridCol w:w="186"/>
        <w:gridCol w:w="610"/>
        <w:gridCol w:w="151"/>
        <w:gridCol w:w="146"/>
        <w:gridCol w:w="203"/>
        <w:gridCol w:w="607"/>
        <w:gridCol w:w="19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109,884,502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1,056,271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(751,427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305,259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465,661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676,314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(41,284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(41,284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111,026,477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1,065,621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(792,711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273,161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(43,423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(43,423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111,368,283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1,075,271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(836,134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239,167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tbl>
      <w:tblPr>
        <w:tblW w:w="9570" w:type="dxa"/>
        <w:jc w:val="left"/>
        <w:tblInd w:w="0" w:type="dxa"/>
        <w:tblLayout w:type="fixed"/>
        <w:tblCellMar>
          <w:top w:w="28" w:type="dxa"/>
          <w:left w:w="28" w:type="dxa"/>
          <w:bottom w:w="28" w:type="dxa"/>
          <w:right w:w="28" w:type="dxa"/>
        </w:tblCellMar>
      </w:tblPr>
      <w:tblGrid>
        <w:gridCol w:w="3256"/>
        <w:gridCol w:w="146"/>
        <w:gridCol w:w="146"/>
        <w:gridCol w:w="646"/>
        <w:gridCol w:w="146"/>
        <w:gridCol w:w="146"/>
        <w:gridCol w:w="170"/>
        <w:gridCol w:w="356"/>
        <w:gridCol w:w="146"/>
        <w:gridCol w:w="146"/>
        <w:gridCol w:w="166"/>
        <w:gridCol w:w="496"/>
        <w:gridCol w:w="146"/>
        <w:gridCol w:w="146"/>
        <w:gridCol w:w="296"/>
        <w:gridCol w:w="620"/>
        <w:gridCol w:w="151"/>
        <w:gridCol w:w="146"/>
        <w:gridCol w:w="186"/>
        <w:gridCol w:w="610"/>
        <w:gridCol w:w="151"/>
        <w:gridCol w:w="146"/>
        <w:gridCol w:w="203"/>
        <w:gridCol w:w="607"/>
        <w:gridCol w:w="19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68,629,738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771,542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(606,692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164,765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financing,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19,714,285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65,577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700,488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6,833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(35,907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(35,907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89,080,821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844,007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(642,599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201,417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7,350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(41,443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(41,443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89,156,350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851,359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(684,042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167,877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AMYLYX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ondensed_consol_stmt_of_cash_flows"/>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366" w:type="dxa"/>
        <w:jc w:val="left"/>
        <w:tblInd w:w="0" w:type="dxa"/>
        <w:tblLayout w:type="fixed"/>
        <w:tblCellMar>
          <w:top w:w="28" w:type="dxa"/>
          <w:left w:w="28" w:type="dxa"/>
          <w:bottom w:w="28" w:type="dxa"/>
          <w:right w:w="28" w:type="dxa"/>
        </w:tblCellMar>
      </w:tblPr>
      <w:tblGrid>
        <w:gridCol w:w="6376"/>
        <w:gridCol w:w="146"/>
        <w:gridCol w:w="198"/>
        <w:gridCol w:w="761"/>
        <w:gridCol w:w="168"/>
        <w:gridCol w:w="147"/>
        <w:gridCol w:w="198"/>
        <w:gridCol w:w="761"/>
        <w:gridCol w:w="611"/>
      </w:tblGrid>
      <w:tr>
        <w:trPr/>
        <w:tc>
          <w:tcPr>
            <w:tcW w:w="6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(84,707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(77,350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investment discounts,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Charge for in-process research and development ("IPR&amp;D") milestones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Deposits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(68,306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(65,072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Milestone payments related to IPR&amp;D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(200,505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(142,637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91,000</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(113,535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(20,665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financings,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65,577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exercise of stock options and RSUs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Withholding taxes paid on stock-based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4,696</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65,631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changes on cash, cash equivalents and 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cash equivalents and 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(177,324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(19,301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227,636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78,837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50,312</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59,536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49,326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58,085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cash, cash equivalents and 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50,312</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59,536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AMYLYX PHARMACEUTICALS, INC.</w:t>
      </w:r>
      <w:r>
        <w:rPr>
          <w:rFonts w:ascii="Times New Roman" w:hAnsi="Times New Roman"/>
          <w:color w:val="000000"/>
          <w:sz w:val="20"/>
        </w:rPr>
        <w:t xml:space="preserve"> </w:t>
      </w:r>
    </w:p>
    <w:p>
      <w:pPr>
        <w:pStyle w:val="TextBody"/>
        <w:bidi w:val="0"/>
        <w:jc w:val="center"/>
        <w:rPr>
          <w:rFonts w:ascii="Times New Roman" w:hAnsi="Times New Roman"/>
          <w:b/>
          <w:caps/>
          <w:color w:val="000000"/>
          <w:sz w:val="20"/>
        </w:rPr>
      </w:pPr>
      <w:bookmarkStart w:id="9" w:name="notes_to_condensed_consol_financial_stmt"/>
      <w:bookmarkEnd w:id="9"/>
      <w:r>
        <w:rPr>
          <w:rFonts w:ascii="Times New Roman" w:hAnsi="Times New Roman"/>
          <w:b/>
          <w:caps/>
          <w:color w:val="000000"/>
          <w:sz w:val="20"/>
        </w:rPr>
        <w:t>NOTES TO CONDENSED Consolidated FINANCIAL STATEMENTS</w:t>
      </w:r>
    </w:p>
    <w:p>
      <w:pPr>
        <w:pStyle w:val="TextBody"/>
        <w:bidi w:val="0"/>
        <w:jc w:val="center"/>
        <w:rPr>
          <w:rFonts w:ascii="Times New Roman" w:hAnsi="Times New Roman"/>
          <w:b/>
          <w:caps/>
          <w:color w:val="000000"/>
          <w:sz w:val="20"/>
        </w:rPr>
      </w:pPr>
      <w:r>
        <w:rPr>
          <w:rFonts w:ascii="Times New Roman" w:hAnsi="Times New Roman"/>
          <w:b/>
          <w:caps/>
          <w:color w:val="000000"/>
          <w:sz w:val="20"/>
        </w:rPr>
        <w:t>(unaudited)</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 Nature of the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Amylyx Pharmaceuticals, Inc., together with its wholly-owned subsidiaries, known as Amylyx or the Company, is a clinical-stage pharmaceutical company with a mission to develop novel therapies for communities with high unmet medical needs. The Company has preclinical and clinical development programs underway in endocrine conditions and neurodegenerative diseases. The Company is currently developing four investigational therapies for potential impact across several diseases: avexitide in PBH, AMX0035 in Wolfram syndrome, AMX0114 in ALS, and AMX0318 in PBH and other rare diseases. </w:t>
      </w:r>
    </w:p>
    <w:p>
      <w:pPr>
        <w:pStyle w:val="TextBody"/>
        <w:bidi w:val="0"/>
        <w:spacing w:before="240" w:after="283"/>
        <w:jc w:val="left"/>
        <w:rPr>
          <w:rFonts w:ascii="Times New Roman" w:hAnsi="Times New Roman"/>
          <w:sz w:val="20"/>
        </w:rPr>
      </w:pPr>
      <w:r>
        <w:rPr>
          <w:rFonts w:ascii="Times New Roman" w:hAnsi="Times New Roman"/>
          <w:b/>
          <w:i/>
          <w:color w:val="000000"/>
          <w:sz w:val="20"/>
        </w:rPr>
        <w:t>Risks and Uncertainties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subject to risks and uncertainties common to companies in the biotechnology industry, including, but not limited to, the outcome of preclinical studies and clinical trials, potential difficulties with or delays in timing with respect to regulatory approval processes, development by competitors of new technological innovations, dependence on key personnel, protection of proprietary technology, compliance with government regulations, ability to secure additional capital to fund operations, and risks associated with the economic challenges caused by economic uncertainty in various global markets caused by geopolitical instability and conflict. The Company and its contractors may also experience disruptions in supply of its products, if approved, or its current or future product candidates and other items that are essential for its research, development, and commercialization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consolidated financial statements have been prepared on the basis of continuity of operations, realization of assets and the satisfaction of liabilities and commitments in the ordinary course of business. The Company expects to continue to generate operating losses for the foreseeable future. The Company expects that its cash, cash equivalents and marketable securities will be sufficient to fund its operating expenses and capital expenditure requirements for at least 12 months from the issuance of these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continue its development efforts, the Company may need to obtain substantial additional funding through public or private equity offerings, debt financings, collaborations, strategic alliances and/or licensing arrangements in order to fund its research and development and ongoing operating expenses. The Company may not be able to obtain financing on acceptable terms, when needed or at all, and the Company may not be able to enter into collaborations, strategic alliances or licensing arrangements. The terms of any financing may adversely affect the holdings or the rights of the Company’s stockholders. Any collaborations, strategic alliances or licensing arrangements may require the Company to relinquish rights to certain of its technologies, future revenue streams, research programs or product candidates or grant licenses on terms that may not be favorable to the Company. If the Company is unable to obtain funding, the Company could be forced to delay, limit, reduce or eliminate some or all of its research and development programs, pipeline expansion or future commercialization efforts or grant rights to develop and market product candidates, which could adversely affect its business prospects. Although management will continue to pursue these plans, there is no assurance that the Company will be successful in obtaining sufficient funding on terms acceptable to the Company to fund continuing operations when needed or at all.</w:t>
      </w:r>
    </w:p>
    <w:p>
      <w:pPr>
        <w:pStyle w:val="TextBody"/>
        <w:bidi w:val="0"/>
        <w:spacing w:before="360" w:after="283"/>
        <w:jc w:val="left"/>
        <w:rPr>
          <w:rFonts w:ascii="Times New Roman" w:hAnsi="Times New Roman"/>
          <w:sz w:val="20"/>
        </w:rPr>
      </w:pPr>
      <w:r>
        <w:rPr>
          <w:rFonts w:ascii="Times New Roman" w:hAnsi="Times New Roman"/>
          <w:b/>
          <w:caps/>
          <w:color w:val="000000"/>
          <w:sz w:val="20"/>
        </w:rPr>
        <w:t>2. Summary of Significant Accounting Policies</w:t>
      </w:r>
      <w:r>
        <w:rPr>
          <w:rFonts w:ascii="Times New Roman" w:hAnsi="Times New Roman"/>
          <w:color w:val="000000"/>
          <w:sz w:val="20"/>
        </w:rPr>
        <w:t xml:space="preserve">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significant accounting policies are disclosed in the audited consolidated financial statements for the year ended December 31, 2025 and the notes thereto, which are included in the Company’s most recent Annual Report on Form 10-K. There have been no material changes to its significant accounting policies since the date of those consolidated financial statements.</w:t>
      </w:r>
    </w:p>
    <w:p>
      <w:pPr>
        <w:pStyle w:val="TextBody"/>
        <w:bidi w:val="0"/>
        <w:jc w:val="left"/>
        <w:rPr>
          <w:rFonts w:ascii="Times New Roman" w:hAnsi="Times New Roman"/>
          <w:b/>
          <w:i/>
          <w:color w:val="000000"/>
          <w:sz w:val="20"/>
        </w:rPr>
      </w:pPr>
      <w:r>
        <w:rPr>
          <w:rFonts w:ascii="Times New Roman" w:hAnsi="Times New Roman"/>
          <w:b/>
          <w:i/>
          <w:color w:val="000000"/>
          <w:sz w:val="20"/>
        </w:rPr>
        <w:t>Basis of Presentation and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and the related interim disclosures are unaudited and have been prepared in conformity with accounting principles generally accepted in the U.S., or GAAP, and pursuant to the rules and regulations of the SEC for the interim financial information. These unaudited condensed consolidated financial statements include the accounts of the Company and its wholly owned subsidiaries. All intercompany balances and transactions have been eliminated in consolidation. Certain information and footnote disclosures normally included in financial statements prepared in accordance with GAAP have been condensed or omitted as permitted by the SEC’s rules and regulations for interim reporting. Interim period results are not necessarily indicative of results of operations or cash flows for a full year or any subsequent interim period. The accompanying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unaudited condensed consolidated financial statements should be read in conjunction with the audited consolidated financial statements and notes included in the Company’s Annual Report on Form 10-K for the year 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opinion of the Company’s management, all normal and recurring adjustments necessary for a fair presentation have been reflected. Any reference in these notes to applicable guidance is meant to refer to the authoritative GAAP as found in the ASC, and Accounting Standards Update, or ASU, of the Financial Accounting Standards Board, or FASB.</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the condensed consolidated financial statements in conformity with GAAP requires the Company’s management to make estimates and assumptions that affect the reported amounts of assets and liabilities at the date of the financial statements and the reported amount of expenses during the reporting period. Actual results could differ from those estimates. Management considers many factors in selecting appropriate financial accounting policies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New Accounting Pronouncements Not Yet Adopted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 xml:space="preserve">Income Statement – Reporting Comprehensive Income – Expense Disaggregation Disclosures (Subtopic 220-40): Disaggregation of Income Statement Expenses, </w:t>
      </w:r>
      <w:r>
        <w:rPr>
          <w:rFonts w:ascii="Times New Roman" w:hAnsi="Times New Roman"/>
          <w:color w:val="000000"/>
          <w:sz w:val="20"/>
        </w:rPr>
        <w:t>which requires new financial statement disclosures in tabular format, in the notes to financial statements, of specified information about certain costs and expenses. The amendments in this update do not change or remove current expense disclosure requirements. The amendments in this update are effective for the Company's annual financial statement disclosure beginning December 31, 2027, and interim periods within the years beginning January 1, 2028. Early adoption is permitted. The Company is currently evaluating the impact of this ASU on its consolidated financial statements and related disclosures.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classified all of its marketable securities at June 30, 2026 as “available-for-sale”. The Company records available-for-sale securities at fair value, with the unrealized gains and losses included as a separate component of other accumulated comprehensive loss. There were no realized gains or losses recognized during the three and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adjusts the cost of available-for-sale debt securities for amortization of premiums and accretion of discounts to maturity. Such amortization and accretion are included in interest income. The cost of securities sold is based on the specific identification method. The Company includes interest and dividends on securities classified as available-for-sale in interest income. Accrued interest receivable relating to the Company’s available-for-sale securities is presented within prepaid expenses and other current assets in the accompanying condensed consolidated balance sheets, and amounted to $0.5 million and less than $0.1 million at June 30, 2026 and December 31,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there were no securities in an unrealized loss position for greater than 12 months. The Company does not intend to sell the investments and it is not more likely than not that the Company will be required to sell the investments before recovery of their amortized cost bases. The Company did not record an allowance for credit losses as of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Marketable securities, which are classified as available-for-sale, consisted of the following (in thousands):</w:t>
      </w:r>
    </w:p>
    <w:p>
      <w:pPr>
        <w:pStyle w:val="TextBody"/>
        <w:bidi w:val="0"/>
        <w:jc w:val="left"/>
        <w:rPr/>
      </w:pPr>
      <w:r>
        <w:rPr/>
        <w:t> </w:t>
      </w:r>
    </w:p>
    <w:tbl>
      <w:tblPr>
        <w:tblW w:w="7294" w:type="dxa"/>
        <w:jc w:val="left"/>
        <w:tblInd w:w="0" w:type="dxa"/>
        <w:tblLayout w:type="fixed"/>
        <w:tblCellMar>
          <w:top w:w="28" w:type="dxa"/>
          <w:left w:w="28" w:type="dxa"/>
          <w:bottom w:w="28" w:type="dxa"/>
          <w:right w:w="28" w:type="dxa"/>
        </w:tblCellMar>
      </w:tblPr>
      <w:tblGrid>
        <w:gridCol w:w="2196"/>
        <w:gridCol w:w="146"/>
        <w:gridCol w:w="202"/>
        <w:gridCol w:w="714"/>
        <w:gridCol w:w="146"/>
        <w:gridCol w:w="146"/>
        <w:gridCol w:w="336"/>
        <w:gridCol w:w="595"/>
        <w:gridCol w:w="146"/>
        <w:gridCol w:w="146"/>
        <w:gridCol w:w="288"/>
        <w:gridCol w:w="643"/>
        <w:gridCol w:w="166"/>
        <w:gridCol w:w="146"/>
        <w:gridCol w:w="196"/>
        <w:gridCol w:w="691"/>
        <w:gridCol w:w="391"/>
      </w:tblGrid>
      <w:tr>
        <w:trPr/>
        <w:tc>
          <w:tcPr>
            <w:tcW w:w="2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94,656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Treasury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201,620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201,434</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449" w:type="dxa"/>
        <w:jc w:val="left"/>
        <w:tblInd w:w="0" w:type="dxa"/>
        <w:tblLayout w:type="fixed"/>
        <w:tblCellMar>
          <w:top w:w="28" w:type="dxa"/>
          <w:left w:w="28" w:type="dxa"/>
          <w:bottom w:w="28" w:type="dxa"/>
          <w:right w:w="28" w:type="dxa"/>
        </w:tblCellMar>
      </w:tblPr>
      <w:tblGrid>
        <w:gridCol w:w="2461"/>
        <w:gridCol w:w="146"/>
        <w:gridCol w:w="225"/>
        <w:gridCol w:w="691"/>
        <w:gridCol w:w="146"/>
        <w:gridCol w:w="146"/>
        <w:gridCol w:w="378"/>
        <w:gridCol w:w="553"/>
        <w:gridCol w:w="146"/>
        <w:gridCol w:w="146"/>
        <w:gridCol w:w="336"/>
        <w:gridCol w:w="595"/>
        <w:gridCol w:w="146"/>
        <w:gridCol w:w="146"/>
        <w:gridCol w:w="196"/>
        <w:gridCol w:w="601"/>
        <w:gridCol w:w="3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Unrealized</w:t>
              <w:b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90,288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90,288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90,328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aps/>
          <w:color w:val="000000"/>
          <w:sz w:val="20"/>
        </w:rPr>
        <w:t>4. Accrued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Accrued expenses consisted of the following (in thousands): </w:t>
      </w:r>
    </w:p>
    <w:p>
      <w:pPr>
        <w:pStyle w:val="TextBody"/>
        <w:bidi w:val="0"/>
        <w:jc w:val="left"/>
        <w:rPr/>
      </w:pPr>
      <w:r>
        <w:rPr/>
        <w:t> </w:t>
      </w:r>
    </w:p>
    <w:tbl>
      <w:tblPr>
        <w:tblW w:w="6980" w:type="dxa"/>
        <w:jc w:val="left"/>
        <w:tblInd w:w="0" w:type="dxa"/>
        <w:tblLayout w:type="fixed"/>
        <w:tblCellMar>
          <w:top w:w="28" w:type="dxa"/>
          <w:left w:w="28" w:type="dxa"/>
          <w:bottom w:w="28" w:type="dxa"/>
          <w:right w:w="28" w:type="dxa"/>
        </w:tblCellMar>
      </w:tblPr>
      <w:tblGrid>
        <w:gridCol w:w="3451"/>
        <w:gridCol w:w="146"/>
        <w:gridCol w:w="284"/>
        <w:gridCol w:w="871"/>
        <w:gridCol w:w="146"/>
        <w:gridCol w:w="146"/>
        <w:gridCol w:w="379"/>
        <w:gridCol w:w="1166"/>
        <w:gridCol w:w="3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external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consulting and other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5</w:t>
      </w:r>
      <w:r>
        <w:rPr>
          <w:rFonts w:ascii="Times New Roman" w:hAnsi="Times New Roman"/>
          <w:b/>
          <w:caps/>
          <w:color w:val="000000"/>
          <w:sz w:val="20"/>
        </w:rPr>
        <w:t>. FAIR VALUE MEASUREMENTS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present information about the Company’s financial assets and liabilities measured at fair value on a recurring basis and indicates the level of the fair value hierarchy utilized to determine such fair values (in thousands): </w:t>
      </w:r>
    </w:p>
    <w:p>
      <w:pPr>
        <w:pStyle w:val="TextBody"/>
        <w:bidi w:val="0"/>
        <w:jc w:val="left"/>
        <w:rPr/>
      </w:pPr>
      <w:r>
        <w:rPr/>
        <w:t> </w:t>
      </w:r>
    </w:p>
    <w:tbl>
      <w:tblPr>
        <w:tblW w:w="6735" w:type="dxa"/>
        <w:jc w:val="left"/>
        <w:tblInd w:w="0" w:type="dxa"/>
        <w:tblLayout w:type="fixed"/>
        <w:tblCellMar>
          <w:top w:w="28" w:type="dxa"/>
          <w:left w:w="28" w:type="dxa"/>
          <w:bottom w:w="28" w:type="dxa"/>
          <w:right w:w="28" w:type="dxa"/>
        </w:tblCellMar>
      </w:tblPr>
      <w:tblGrid>
        <w:gridCol w:w="2196"/>
        <w:gridCol w:w="146"/>
        <w:gridCol w:w="196"/>
        <w:gridCol w:w="691"/>
        <w:gridCol w:w="146"/>
        <w:gridCol w:w="146"/>
        <w:gridCol w:w="196"/>
        <w:gridCol w:w="511"/>
        <w:gridCol w:w="146"/>
        <w:gridCol w:w="146"/>
        <w:gridCol w:w="233"/>
        <w:gridCol w:w="412"/>
        <w:gridCol w:w="146"/>
        <w:gridCol w:w="146"/>
        <w:gridCol w:w="196"/>
        <w:gridCol w:w="691"/>
        <w:gridCol w:w="391"/>
      </w:tblGrid>
      <w:tr>
        <w:trPr/>
        <w:tc>
          <w:tcPr>
            <w:tcW w:w="2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Treasury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193,566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201,434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219,077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226,945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503" w:type="dxa"/>
        <w:jc w:val="left"/>
        <w:tblInd w:w="0" w:type="dxa"/>
        <w:tblLayout w:type="fixed"/>
        <w:tblCellMar>
          <w:top w:w="28" w:type="dxa"/>
          <w:left w:w="28" w:type="dxa"/>
          <w:bottom w:w="28" w:type="dxa"/>
          <w:right w:w="28" w:type="dxa"/>
        </w:tblCellMar>
      </w:tblPr>
      <w:tblGrid>
        <w:gridCol w:w="2026"/>
        <w:gridCol w:w="146"/>
        <w:gridCol w:w="196"/>
        <w:gridCol w:w="691"/>
        <w:gridCol w:w="146"/>
        <w:gridCol w:w="146"/>
        <w:gridCol w:w="233"/>
        <w:gridCol w:w="412"/>
        <w:gridCol w:w="146"/>
        <w:gridCol w:w="146"/>
        <w:gridCol w:w="233"/>
        <w:gridCol w:w="412"/>
        <w:gridCol w:w="146"/>
        <w:gridCol w:w="146"/>
        <w:gridCol w:w="196"/>
        <w:gridCol w:w="691"/>
        <w:gridCol w:w="3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207,599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298,912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298,912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classifies its cash equivalents, treasury bills, and treasury notes as Level 1 assets under the fair value hierarchy, as these assets have been valued using quoted market prices for identical assets in active markets without any valuation adjustment. The Company classifies its commercial paper as Level 2 assets under the fair value hierarchy, as these assets have been valued using information obtained through a third-party pricing service at each balance sheet date, using observable market inputs that may include trade information, broker or dealer quotes, bids, offers, or a combination of these data sources.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aps/>
          <w:color w:val="000000"/>
          <w:sz w:val="20"/>
        </w:rPr>
        <w:t>6. Stock-BASED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Incentive Plan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Option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summary of option activity for the six months ended June 30, 2026 is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41"/>
        <w:gridCol w:w="146"/>
        <w:gridCol w:w="196"/>
        <w:gridCol w:w="916"/>
        <w:gridCol w:w="166"/>
        <w:gridCol w:w="146"/>
        <w:gridCol w:w="249"/>
        <w:gridCol w:w="652"/>
        <w:gridCol w:w="146"/>
        <w:gridCol w:w="146"/>
        <w:gridCol w:w="317"/>
        <w:gridCol w:w="719"/>
        <w:gridCol w:w="146"/>
        <w:gridCol w:w="146"/>
        <w:gridCol w:w="290"/>
        <w:gridCol w:w="891"/>
        <w:gridCol w:w="192"/>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w:t>
              <w:br/>
              <w:t>Intrinsic</w:t>
              <w:br/>
              <w:t>Value</w:t>
              <w:br/>
              <w:t>(in thousands)</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9,407,851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42,967</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2,770,780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6,011</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Cancelled or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11,331,206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78,565</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5,797,526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35,686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unvested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5,533,680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42,880</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grant-date fair value of options granted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aggregate intrinsic value of options exercised during the six months ended June 30, 2026 and 2025 was $6.0 million and $0.1 million,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total fair value of stock options vested during the six months ended June 30, 2026 and 2025 was $7.9 million and $10.6 million, respectively.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Restricted Stock Unit Activity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restricted stock unit, or RSU, activity for the six months ended June 30, 2026 is as follows:</w:t>
      </w:r>
    </w:p>
    <w:p>
      <w:pPr>
        <w:pStyle w:val="TextBody"/>
        <w:bidi w:val="0"/>
        <w:jc w:val="left"/>
        <w:rPr/>
      </w:pPr>
      <w:r>
        <w:rPr/>
        <w:t> </w:t>
      </w:r>
    </w:p>
    <w:tbl>
      <w:tblPr>
        <w:tblW w:w="8365" w:type="dxa"/>
        <w:jc w:val="left"/>
        <w:tblInd w:w="0" w:type="dxa"/>
        <w:tblLayout w:type="fixed"/>
        <w:tblCellMar>
          <w:top w:w="28" w:type="dxa"/>
          <w:left w:w="28" w:type="dxa"/>
          <w:bottom w:w="28" w:type="dxa"/>
          <w:right w:w="28" w:type="dxa"/>
        </w:tblCellMar>
      </w:tblPr>
      <w:tblGrid>
        <w:gridCol w:w="2716"/>
        <w:gridCol w:w="146"/>
        <w:gridCol w:w="227"/>
        <w:gridCol w:w="1288"/>
        <w:gridCol w:w="166"/>
        <w:gridCol w:w="146"/>
        <w:gridCol w:w="910"/>
        <w:gridCol w:w="2375"/>
        <w:gridCol w:w="39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2,725,084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2,040,947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Nonvested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3,861,106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Performance-Based Restricted Stock Unit Activity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2025, the Company granted performance-based restricted stock units, or PSUs, whereby vesting depends upon the occurrence of certain milestone events, or the 2025 PSUs. When the achievement of milestone events, which include certain clinical milestones related to avexitide for the treatment of PBH, becomes probable, compensation cost will be recognized from the grant date over the requisite service period and a cumulative catch-up adjustment will be recorded to reflect the portion of the employees' requisite service that has been provided to date. As of June 30, 2026, none of the milestone events related to the 2025 PSUs had been deemed probable of being achieved.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PSU activity for the six months ended June 30, 2026, is as follows:</w:t>
      </w:r>
    </w:p>
    <w:p>
      <w:pPr>
        <w:pStyle w:val="TextBody"/>
        <w:bidi w:val="0"/>
        <w:jc w:val="left"/>
        <w:rPr/>
      </w:pPr>
      <w:r>
        <w:rPr/>
        <w:t> </w:t>
      </w:r>
    </w:p>
    <w:tbl>
      <w:tblPr>
        <w:tblW w:w="8365" w:type="dxa"/>
        <w:jc w:val="left"/>
        <w:tblInd w:w="0" w:type="dxa"/>
        <w:tblLayout w:type="fixed"/>
        <w:tblCellMar>
          <w:top w:w="28" w:type="dxa"/>
          <w:left w:w="28" w:type="dxa"/>
          <w:bottom w:w="28" w:type="dxa"/>
          <w:right w:w="28" w:type="dxa"/>
        </w:tblCellMar>
      </w:tblPr>
      <w:tblGrid>
        <w:gridCol w:w="2716"/>
        <w:gridCol w:w="146"/>
        <w:gridCol w:w="227"/>
        <w:gridCol w:w="1288"/>
        <w:gridCol w:w="166"/>
        <w:gridCol w:w="146"/>
        <w:gridCol w:w="1043"/>
        <w:gridCol w:w="2242"/>
        <w:gridCol w:w="39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2,089,494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Nonvested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2,014,019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Summary of Stock-Based Compensation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Stock-based compensation expense for the three and six months ended June 30, 2026 and 2025, is as follows (in thousands): </w:t>
      </w:r>
    </w:p>
    <w:p>
      <w:pPr>
        <w:pStyle w:val="TextBody"/>
        <w:bidi w:val="0"/>
        <w:jc w:val="left"/>
        <w:rPr/>
      </w:pPr>
      <w:r>
        <w:rPr/>
        <w:t> </w:t>
      </w:r>
    </w:p>
    <w:tbl>
      <w:tblPr>
        <w:tblW w:w="8308" w:type="dxa"/>
        <w:jc w:val="left"/>
        <w:tblInd w:w="0" w:type="dxa"/>
        <w:tblLayout w:type="fixed"/>
        <w:tblCellMar>
          <w:top w:w="28" w:type="dxa"/>
          <w:left w:w="28" w:type="dxa"/>
          <w:bottom w:w="28" w:type="dxa"/>
          <w:right w:w="28" w:type="dxa"/>
        </w:tblCellMar>
      </w:tblPr>
      <w:tblGrid>
        <w:gridCol w:w="3001"/>
        <w:gridCol w:w="146"/>
        <w:gridCol w:w="281"/>
        <w:gridCol w:w="732"/>
        <w:gridCol w:w="209"/>
        <w:gridCol w:w="209"/>
        <w:gridCol w:w="281"/>
        <w:gridCol w:w="732"/>
        <w:gridCol w:w="146"/>
        <w:gridCol w:w="146"/>
        <w:gridCol w:w="232"/>
        <w:gridCol w:w="712"/>
        <w:gridCol w:w="173"/>
        <w:gridCol w:w="173"/>
        <w:gridCol w:w="232"/>
        <w:gridCol w:w="712"/>
        <w:gridCol w:w="1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2,472</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10,211</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8,318</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14,438</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14,183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unrecognized stock-based compensation expense as of June 30, 2026, by type of awards (in thousands), and the weighted-average period over which that expense is expected to be recognized (in years). The total unrecognized stock-based compensation expense will be adjusted for actual forfeitures as they occur.</w:t>
      </w:r>
    </w:p>
    <w:p>
      <w:pPr>
        <w:pStyle w:val="TextBody"/>
        <w:bidi w:val="0"/>
        <w:jc w:val="left"/>
        <w:rPr/>
      </w:pPr>
      <w:r>
        <w:rPr/>
        <w:t> </w:t>
      </w:r>
    </w:p>
    <w:tbl>
      <w:tblPr>
        <w:tblW w:w="8445" w:type="dxa"/>
        <w:jc w:val="left"/>
        <w:tblInd w:w="0" w:type="dxa"/>
        <w:tblLayout w:type="fixed"/>
        <w:tblCellMar>
          <w:top w:w="28" w:type="dxa"/>
          <w:left w:w="28" w:type="dxa"/>
          <w:bottom w:w="28" w:type="dxa"/>
          <w:right w:w="28" w:type="dxa"/>
        </w:tblCellMar>
      </w:tblPr>
      <w:tblGrid>
        <w:gridCol w:w="2986"/>
        <w:gridCol w:w="146"/>
        <w:gridCol w:w="453"/>
        <w:gridCol w:w="1392"/>
        <w:gridCol w:w="146"/>
        <w:gridCol w:w="146"/>
        <w:gridCol w:w="767"/>
        <w:gridCol w:w="2218"/>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Unrecognized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 Recognition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Performance-based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7. STOCKHOLDERS’ EQUITY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Company’s Fourth Amended and Restated Certificate of Incorporation, or the certificate of incorporation, each share of common stock entitles the holder to one vote on all matters submitted to the stockholders for a vote provided, however, that, except as otherwise required by law, holders of common stock shall not be entitled to vote on any amendment to the Company’s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Delaware General Corporation Law. Holders of common stock are entitled to receive dividends, as may be declared by the Company’s Board of Directors, if any, subject to the preferential dividend rights of the preferred stock. No dividends were declared or paid during the six months ended June 30, 2026 and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aps/>
          <w:color w:val="000000"/>
          <w:sz w:val="20"/>
        </w:rPr>
        <w:t>8. NET LOSS PER SHARE</w:t>
      </w:r>
      <w:r>
        <w:rPr>
          <w:rFonts w:ascii="Times New Roman" w:hAnsi="Times New Roman"/>
          <w:caps/>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earnings per share is computed by dividing net loss by the weighted average number of common shares outstanding during the period. Diluted earnings per share is calculated based on the combined weighted average number of common shares and potentially dilutive shares, which include the assumed exercise of employee stock options, unvested RSUs and unvested PSUs. In computing diluted earnings per share, the Company utilizes the treasury stock method.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the Company reports a net loss attributable to common stockholders, basic and diluted net loss per share attributable to common stockholders are the same for both periods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stock options, RSUs and PSUs units were excluded from the computation of diluted weighted-average shares outstanding because such securities would have an antidilutive impact for the three and six months ended June 30, 2026. The following stock options, RSUs and PSUs outstanding at each period end have been excluded from the calculation of diluted net loss per share because their inclusion would have been antidilutive:</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3176"/>
        <w:gridCol w:w="146"/>
        <w:gridCol w:w="147"/>
        <w:gridCol w:w="927"/>
        <w:gridCol w:w="147"/>
        <w:gridCol w:w="147"/>
        <w:gridCol w:w="147"/>
        <w:gridCol w:w="927"/>
        <w:gridCol w:w="146"/>
        <w:gridCol w:w="146"/>
        <w:gridCol w:w="146"/>
        <w:gridCol w:w="916"/>
        <w:gridCol w:w="146"/>
        <w:gridCol w:w="146"/>
        <w:gridCol w:w="146"/>
        <w:gridCol w:w="916"/>
        <w:gridCol w:w="291"/>
      </w:tblGrid>
      <w:tr>
        <w:trPr/>
        <w:tc>
          <w:tcPr>
            <w:tcW w:w="3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11,331,206</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9,815,940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11,331,206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9,815,940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3,861,106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3,139,802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3,861,106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3,139,802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Performance-based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2,014,019</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1,392,632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2,014,019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1,392,632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 excluded common stock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17,206,331</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14,348,374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17,206,331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14,348,374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aps/>
          <w:color w:val="000000"/>
          <w:sz w:val="20"/>
        </w:rPr>
        <w:t>9.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Letter of Credit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Restricted cash equivalents consist of $0.9 million of cash serving as collateral for a letter of credit issued for the Company’s office spaces, and $0.1 million as collateral for a corporate credit card program. As of June 30, 2026 and December 31, 2025, the Company’s restricted cash equivalents balance was $1.0 million on its condensed consolidated balance sheets.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9, 2024, a putative class action lawsuit was filed in the U.S. District Court for the Southern District of New York against us and certain of our current and former officers (Shih v. Amylyx Pharmaceuticals, Inc., et al., Case Number 1:24-CV-00988, or the Shih Complaint). Plaintiff filed an amended complaint on June 24, 2024. The Shih Complaint asserts a claim against all defendants for alleged violations of Section 10(b) of the Exchange Act and Rule 10b-5 promulgated thereunder and a claim under Section 20(a) against certain current and former officers as alleged controlling persons. The Shih Complaint alleges that defendants made materially false and misleading statements related to the commercial results and prospects for RELYVRIO. The Shih Complaint seeks unspecified damages, interest, costs and attorneys’ fees, and other unspecified relief that the court deems appropriate. On August 12, 2024, the case was transferred from the U.S. District Court for the Southern District of New York to the U.S. District Court for the District of Massachusetts, or the Court, and assigned docket number 1:24-CV-12068. Following the transfer, on September 6, 2024, defendants moved to dismiss the Shih Complaint. On September 30, 2025, the Court issued an order finding that the majority of the alleged misstatements are inactionable, but ultimately denied the motion to dismiss. The Company filed an answer on October 30, 2025. The parties have reached an agreement in principle to settle the class claims, subject to court approval, for $6.5 million, a significant portion of which was funded by insurance proceeds. On May 19, 2026, the court issued an order preliminarily approving the settlement and scheduled a final settlement approval hearing for September 10,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Shih Complaint, two derivative complaints were filed in the U.S. District Court for the District of Massachusetts on October 2, 2024, Jones v. Cohen, et al., 1:24-cv-12527, and on July 2, 2025, Hassine v. Cohen, et al., 1:25-CV-11879 (together, the Massachusetts Derivative Complaints) against certain current and former director and officer defendants (and naming the company as a nominal defendant). The substantive allegations in the Massachusetts Derivative Complaints mirror those of the Shih Complaint but assert claims for alleged violations of the Exchange Act, breach of fiduciary duty, insider trading, and unjust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enrichment (among other common law claims) and seek unspecified damages to be awarded to the Company along with interest, restitution, unspecified corporate governance and internal procedural reforms and improvements, and plaintiff's attorneys' fees and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16, 2025, the parties to both Massachusetts Derivative Complaints moved the Court to consolidate the two actions and stay the consolidated action, which the Court approved on July 22, 2025. On June 12, 2026, following the lifting of the stay, plaintiffs filed an amended complaint. On July 14, 2026, the parties filed a stipulation with the court informing it that they were engaged in the negotiation of as settlement term sheet and seeking an extension to existing deadlines to allow the parties to finalize the term sheet and negotiate a formal settlement agreement, which the court granted on July 15, 2026. In the event that a settlement cannot be reached, Defendants’ deadline to file a motion to dismiss the amended complaint is currently August 13,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7, 2026, a third derivative complaint was filed in Delaware Court of Chancery against certain current and former directors and officer defendants, naming the Company as nominal defendant, Schweitzer v. Klee, et al., 2026-0459-BWD (the Schweitzer Complaint and, together with the Massachusetts Derivative Complaints, the Derivative Complaints). Like the Massachusetts Complaints, the substantive allegations of the Schweitzer Complaint mirror those of the Shih Complaint and allege breach of fiduciary duty and other common law claims and seeks unspecified damages with interest, costs, and attorneys’ fees, restitution, and certain corporate governance and internal procedural reforms and improvements. The Schweitzer Complaint plaintiff is participating in the above-referenced settlement negotiations to attempt to resolve the Derivative Complaints. To the extent a resolution of the Derivative Complaints cannot be reached, we intend to defend against the Derivative Complaints vigorously. At this time, an estimate of the impact, if any, of the claims made in the Derivative Complaints cannot be made.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Royalty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entered into a limited number of grant and royalty agreements that include payment obligations contingent upon future events, such as commercialization or the receipt of proceeds from revenue-generating transactions related to the underlying technologies. As the conditions that would trigger royalty payments have not been met, no amounts have been recorded in the consolidated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Purchase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enters into agreements in the normal course of business with contract manufacturing organizations, or CMOs, for raw material purchases and manufacturing services. As of June 30, 2026, the Company had approximately $35.0 million of remaining unconditional purchase obligations that are expected to be paid through 2028. Of this amount, approximately $13.6 million is expected to be paid within the next 12 months, and approximately $21.5 million is expected to be paid thereafter through 2028.</w:t>
      </w:r>
    </w:p>
    <w:p>
      <w:pPr>
        <w:pStyle w:val="TextBody"/>
        <w:bidi w:val="0"/>
        <w:spacing w:before="240" w:after="283"/>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10. asset aCQUISITIONS and collaboration agreements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Gubra A/S Collaboration and License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23, 2024, the Company entered into a collaboration and license agreement, or the Gubra Agreement, with Gubra A/S, or Gubra, pursuant to which the parties will perform research and discovery activities for the development of a potential novel long-acting GLP-1 receptor antagonist, under the oversight of a joint research committee. The collaboration provides the Company an exclusive license to develop, manufacture, commercialize and otherwise exploit any development candidate and product(s) arising in the performance of activities under the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made an immaterial upfront payment in January 2025, which became due upon the effective date of the Gubra Agreement. Since the payment was made for the use of Gubra’s intellectual property and research and development services and there is no alternative use, the Company recorded the upfront payment to research and development expense on the consolidated statements of operations in 2024. Certain milestones were met and paid in the first quarter of 2026, specifically the selection and handover of the development candidate, which provided a milestone payment of $4 million to Gubra. Gubra is eligible to receive an additional $49.5 million upon the achievement of certain development, regulatory and commercial milestones, as well as tiered royalties on future sales from any products that result from the agreement. None of these milestone payments are deemed probable at June 30, 2026 and have not been recognized.</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aps/>
          <w:color w:val="000000"/>
          <w:sz w:val="20"/>
        </w:rPr>
        <w:t>11. Segments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views its operations and manages its business as one operating segment and reporting unit. Our operating segments are determined based on how our Co-Chief Executive Officers, who collectively serve as our chief operating decision makers, or CODM, manage our business, regularly access discrete financial information, and evaluate performance for operating decision-making purposes, including allocation of resources or capital to specific compounds or projects in line with the Company’s overall strategies and goals. The Company’s entire business is managed by a single management team, which reports to the CODM.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CODM assess segment performance and decide how to allocate resources based on consolidated net loss. The CODM use net loss to monitor budget and forecast versus actual results in assessing segment performance and to determine how to allocate resources. The measure of segment assets used in determining how to manage and allocate resources is reported on the consolidated balance sheets as total assets. All of the Company's long-lived assets were held within the U.S.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reconciles segment revenue and expenses to consolidated net loss for the three and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4694"/>
        <w:gridCol w:w="146"/>
        <w:gridCol w:w="231"/>
        <w:gridCol w:w="811"/>
        <w:gridCol w:w="183"/>
        <w:gridCol w:w="160"/>
        <w:gridCol w:w="231"/>
        <w:gridCol w:w="811"/>
        <w:gridCol w:w="166"/>
        <w:gridCol w:w="146"/>
        <w:gridCol w:w="212"/>
        <w:gridCol w:w="745"/>
        <w:gridCol w:w="167"/>
        <w:gridCol w:w="146"/>
        <w:gridCol w:w="212"/>
        <w:gridCol w:w="745"/>
        <w:gridCol w:w="399"/>
      </w:tblGrid>
      <w:tr>
        <w:trPr/>
        <w:tc>
          <w:tcPr>
            <w:tcW w:w="4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Direct research and development expenses by program</w:t>
            </w:r>
            <w:r>
              <w:rPr>
                <w:rFonts w:ascii="Times New Roman" w:hAnsi="Times New Roman"/>
                <w:color w:val="000000"/>
                <w:sz w:val="13"/>
              </w:rPr>
              <w:t>1,2</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Avexitide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12,531</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AMX0035 - PSP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11,709</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programs</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8,531</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Personnel-related research and development</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16,565</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31,324</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(43,423</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(84,707</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(77,350</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sz w:val="20"/>
        </w:rPr>
      </w:pPr>
      <w:r>
        <w:rPr>
          <w:rFonts w:ascii="Times New Roman" w:hAnsi="Times New Roman"/>
          <w:color w:val="000000"/>
          <w:sz w:val="12"/>
        </w:rPr>
        <w:t xml:space="preserve">1. </w:t>
      </w:r>
      <w:r>
        <w:rPr>
          <w:rFonts w:ascii="Times New Roman" w:hAnsi="Times New Roman"/>
          <w:color w:val="000000"/>
          <w:sz w:val="18"/>
        </w:rPr>
        <w:t>The significant expense categories and amounts align with the segment-level information that is regularly provided to the CODM. As the Company has one</w:t>
      </w:r>
      <w:r>
        <w:rPr>
          <w:rFonts w:ascii="Times New Roman" w:hAnsi="Times New Roman"/>
          <w:color w:val="000000"/>
          <w:sz w:val="20"/>
        </w:rPr>
        <w:t xml:space="preserve"> </w:t>
      </w:r>
      <w:r>
        <w:rPr>
          <w:rFonts w:ascii="Times New Roman" w:hAnsi="Times New Roman"/>
          <w:color w:val="000000"/>
          <w:sz w:val="18"/>
        </w:rPr>
        <w:t>reportable segment, there were no</w:t>
      </w:r>
      <w:r>
        <w:rPr>
          <w:rFonts w:ascii="Times New Roman" w:hAnsi="Times New Roman"/>
          <w:color w:val="000000"/>
          <w:sz w:val="20"/>
        </w:rPr>
        <w:t xml:space="preserve"> </w:t>
      </w:r>
      <w:r>
        <w:rPr>
          <w:rFonts w:ascii="Times New Roman" w:hAnsi="Times New Roman"/>
          <w:color w:val="000000"/>
          <w:sz w:val="18"/>
        </w:rPr>
        <w:t>intersegment eliminations for the three and six months ended June 30, 2026 and 2025.</w:t>
      </w:r>
    </w:p>
    <w:p>
      <w:pPr>
        <w:pStyle w:val="TextBody"/>
        <w:bidi w:val="0"/>
        <w:jc w:val="left"/>
        <w:rPr>
          <w:rFonts w:ascii="Times New Roman" w:hAnsi="Times New Roman"/>
          <w:sz w:val="20"/>
        </w:rPr>
      </w:pPr>
      <w:r>
        <w:rPr>
          <w:rFonts w:ascii="Times New Roman" w:hAnsi="Times New Roman"/>
          <w:color w:val="000000"/>
          <w:sz w:val="12"/>
        </w:rPr>
        <w:t xml:space="preserve">2. </w:t>
      </w:r>
      <w:r>
        <w:rPr>
          <w:rFonts w:ascii="Times New Roman" w:hAnsi="Times New Roman"/>
          <w:color w:val="000000"/>
          <w:sz w:val="18"/>
        </w:rPr>
        <w:t>Depreciation and amortization expense of less than 0.1</w:t>
      </w:r>
      <w:r>
        <w:rPr>
          <w:rFonts w:ascii="Times New Roman" w:hAnsi="Times New Roman"/>
          <w:color w:val="000000"/>
          <w:sz w:val="20"/>
        </w:rPr>
        <w:t xml:space="preserve"> </w:t>
      </w:r>
      <w:r>
        <w:rPr>
          <w:rFonts w:ascii="Times New Roman" w:hAnsi="Times New Roman"/>
          <w:color w:val="000000"/>
          <w:sz w:val="18"/>
        </w:rPr>
        <w:t>million and $0.1</w:t>
      </w:r>
      <w:r>
        <w:rPr>
          <w:rFonts w:ascii="Times New Roman" w:hAnsi="Times New Roman"/>
          <w:color w:val="000000"/>
          <w:sz w:val="20"/>
        </w:rPr>
        <w:t xml:space="preserve"> </w:t>
      </w:r>
      <w:r>
        <w:rPr>
          <w:rFonts w:ascii="Times New Roman" w:hAnsi="Times New Roman"/>
          <w:color w:val="000000"/>
          <w:sz w:val="18"/>
        </w:rPr>
        <w:t>million</w:t>
      </w:r>
      <w:r>
        <w:rPr>
          <w:rFonts w:ascii="Times New Roman" w:hAnsi="Times New Roman"/>
          <w:color w:val="000000"/>
          <w:sz w:val="20"/>
        </w:rPr>
        <w:t xml:space="preserve"> </w:t>
      </w:r>
      <w:r>
        <w:rPr>
          <w:rFonts w:ascii="Times New Roman" w:hAnsi="Times New Roman"/>
          <w:color w:val="000000"/>
          <w:sz w:val="18"/>
        </w:rPr>
        <w:t>during the three and six months ended June 30, 2026, respectively, and $0.1</w:t>
      </w:r>
      <w:r>
        <w:rPr>
          <w:rFonts w:ascii="Times New Roman" w:hAnsi="Times New Roman"/>
          <w:color w:val="000000"/>
          <w:sz w:val="20"/>
        </w:rPr>
        <w:t xml:space="preserve"> </w:t>
      </w:r>
      <w:r>
        <w:rPr>
          <w:rFonts w:ascii="Times New Roman" w:hAnsi="Times New Roman"/>
          <w:color w:val="000000"/>
          <w:sz w:val="18"/>
        </w:rPr>
        <w:t>million</w:t>
      </w:r>
      <w:r>
        <w:rPr>
          <w:rFonts w:ascii="Times New Roman" w:hAnsi="Times New Roman"/>
          <w:color w:val="000000"/>
          <w:sz w:val="20"/>
        </w:rPr>
        <w:t xml:space="preserve"> </w:t>
      </w:r>
      <w:r>
        <w:rPr>
          <w:rFonts w:ascii="Times New Roman" w:hAnsi="Times New Roman"/>
          <w:color w:val="000000"/>
          <w:sz w:val="18"/>
        </w:rPr>
        <w:t>and $0.3</w:t>
      </w:r>
      <w:r>
        <w:rPr>
          <w:rFonts w:ascii="Times New Roman" w:hAnsi="Times New Roman"/>
          <w:color w:val="000000"/>
          <w:sz w:val="20"/>
        </w:rPr>
        <w:t xml:space="preserve"> </w:t>
      </w:r>
      <w:r>
        <w:rPr>
          <w:rFonts w:ascii="Times New Roman" w:hAnsi="Times New Roman"/>
          <w:color w:val="000000"/>
          <w:sz w:val="18"/>
        </w:rPr>
        <w:t>million</w:t>
      </w:r>
      <w:r>
        <w:rPr>
          <w:rFonts w:ascii="Times New Roman" w:hAnsi="Times New Roman"/>
          <w:color w:val="000000"/>
          <w:sz w:val="20"/>
        </w:rPr>
        <w:t xml:space="preserve"> </w:t>
      </w:r>
      <w:r>
        <w:rPr>
          <w:rFonts w:ascii="Times New Roman" w:hAnsi="Times New Roman"/>
          <w:color w:val="000000"/>
          <w:sz w:val="18"/>
        </w:rPr>
        <w:t>during the three and six months ended June 30, 2025, respectively, are allocated across the significant expense captions.</w:t>
      </w:r>
    </w:p>
    <w:p>
      <w:pPr>
        <w:pStyle w:val="TextBody"/>
        <w:bidi w:val="0"/>
        <w:jc w:val="left"/>
        <w:rPr>
          <w:rFonts w:ascii="Times New Roman" w:hAnsi="Times New Roman"/>
          <w:sz w:val="20"/>
        </w:rPr>
      </w:pPr>
      <w:r>
        <w:rPr>
          <w:rFonts w:ascii="Times New Roman" w:hAnsi="Times New Roman"/>
          <w:color w:val="000000"/>
          <w:sz w:val="12"/>
        </w:rPr>
        <w:t xml:space="preserve">3. </w:t>
      </w:r>
      <w:r>
        <w:rPr>
          <w:rFonts w:ascii="Times New Roman" w:hAnsi="Times New Roman"/>
          <w:color w:val="000000"/>
          <w:sz w:val="18"/>
        </w:rPr>
        <w:t>Other programs includes milestone payments totaling $4.0</w:t>
      </w:r>
      <w:r>
        <w:rPr>
          <w:rFonts w:ascii="Times New Roman" w:hAnsi="Times New Roman"/>
          <w:color w:val="000000"/>
          <w:sz w:val="20"/>
        </w:rPr>
        <w:t xml:space="preserve"> </w:t>
      </w:r>
      <w:r>
        <w:rPr>
          <w:rFonts w:ascii="Times New Roman" w:hAnsi="Times New Roman"/>
          <w:color w:val="000000"/>
          <w:sz w:val="18"/>
        </w:rPr>
        <w:t>million made to Gubra following the selection and handover of AMX0318 as a development candidate for PBH and other rare diseases during the six months ended June 30, 2026.</w:t>
      </w:r>
    </w:p>
    <w:p>
      <w:pPr>
        <w:pStyle w:val="TextBody"/>
        <w:bidi w:val="0"/>
        <w:jc w:val="left"/>
        <w:rPr>
          <w:rFonts w:ascii="Times New Roman" w:hAnsi="Times New Roman"/>
          <w:sz w:val="20"/>
        </w:rPr>
      </w:pPr>
      <w:r>
        <w:rPr>
          <w:rFonts w:ascii="Times New Roman" w:hAnsi="Times New Roman"/>
          <w:color w:val="000000"/>
          <w:sz w:val="12"/>
        </w:rPr>
        <w:t xml:space="preserve">4. </w:t>
      </w:r>
      <w:r>
        <w:rPr>
          <w:rFonts w:ascii="Times New Roman" w:hAnsi="Times New Roman"/>
          <w:color w:val="000000"/>
          <w:sz w:val="18"/>
        </w:rPr>
        <w:t>The Company does not allocate personnel and other similar costs to specific programs because these costs are deployed across multiple programs.</w:t>
      </w:r>
    </w:p>
    <w:p>
      <w:pPr>
        <w:pStyle w:val="TextBody"/>
        <w:bidi w:val="0"/>
        <w:jc w:val="left"/>
        <w:rPr>
          <w:rFonts w:ascii="Times New Roman" w:hAnsi="Times New Roman"/>
          <w:sz w:val="20"/>
        </w:rPr>
      </w:pPr>
      <w:r>
        <w:rPr>
          <w:rFonts w:ascii="Times New Roman" w:hAnsi="Times New Roman"/>
          <w:color w:val="000000"/>
          <w:sz w:val="12"/>
        </w:rPr>
        <w:t xml:space="preserve">5. </w:t>
      </w:r>
      <w:r>
        <w:rPr>
          <w:rFonts w:ascii="Times New Roman" w:hAnsi="Times New Roman"/>
          <w:color w:val="000000"/>
          <w:sz w:val="18"/>
        </w:rPr>
        <w:t>Other segment items primarily consists of net realized and unrealized losses on foreign exchange transactions.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0" w:name="item_2_management_discussion_and_analys"/>
      <w:bookmarkEnd w:id="10"/>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following information should be read in conjunction with the condensed consolidated financial information and the notes thereto appearing elsewhere in this Quarterly Report.</w:t>
      </w:r>
    </w:p>
    <w:p>
      <w:pPr>
        <w:pStyle w:val="TextBody"/>
        <w:bidi w:val="0"/>
        <w:spacing w:before="240" w:after="283"/>
        <w:jc w:val="left"/>
        <w:rPr>
          <w:rFonts w:ascii="Times New Roman" w:hAnsi="Times New Roman"/>
          <w:sz w:val="20"/>
        </w:rPr>
      </w:pPr>
      <w:r>
        <w:rPr>
          <w:rFonts w:ascii="Times New Roman" w:hAnsi="Times New Roman"/>
          <w:i/>
          <w:color w:val="000000"/>
          <w:sz w:val="20"/>
        </w:rPr>
        <w:t>This discussion and other parts of this Quarterly Report contain forward-looking statements that involve risks and uncertainties, such as statements of our plans, objectives, expectations and intentions. As a result of many factors, including those risk factors set forth in our most recent Annual Report on Form 10-K, or 2025 Annual Report, and in our subsequent Quarterly Reports, our actual results could differ materially from the results described in or implied by the forward-looking statements contained in the following discussion and analysis.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clinical-stage pharmaceutical company with a mission to develop and advance novel therapies for communities with high unmet medical needs. We have preclinical and clinical development programs underway in endocrine conditions and neurodegenerative diseases. We are advancing a pipeline in which we have matched investigational therapies with diseases for which we believe these therapies can make the greatest impact, based on well-defined mechanistic rationales, clear clinical outcomes and biomarkers, and rigorous preclinical data, agnostic of modality. We are currently developing four investigational therapies for potential impact across several diseases: avexitide in PBH, AMX0035 in Wolfram syndrome, AMX0114 in ALS, and AMX0318 in PBH and other rare diseases.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lead investigational asset is avexitide, a first-in-class glucagon-like peptide-1, or GLP-1, receptor antagonist. Avexitide has been evaluated as a treatment for PBH and congenital hyperinsulinism, or congenital HI, two indications characterized by hyperinsulinemic hypoglycemia. The U.S. Food and Drug Administration, or the FDA, has granted avexitide Breakthrough Therapy Designation for both PBH and congenital HI, Rare Pediatric Disease Designation for congenital HI, and Orphan Drug Designation for the treatment of hyperinsulinemic hypoglycemia.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PBH is a chronic metabolic condition that is estimated to affect approximately 8% of people in the U.S. who have undergone the two most common types of bariatric surgery, sleeve gastrectomy and Roux-en-Y gastric bypass, or RYGB, (approximately 160,000 people in the U.S.). PBH is thought to be driven by an exaggerated GLP-1 response, primarily in response to food intake, leading to persistent, recurrent, and often debilitating rapid drops in blood glucose, known as hypoglycemia. The American Diabetes Association recognizes hypoglycemia as a potential medical emergency because low blood glucose levels can compromise the body’s ability to maintain essential physiologic processes. In addition, hypoglycemia in the context of PBH may manifest as neuroglycopenia – an inadequate supply of glucose to the brain, which can cause confusion, cognitive dysfunction, loss of consciousness, and seizures. PBH can be associated with substantial disability, compromising safety, disrupting independent living, and affecting nutritional status and overall quality of life. Despite the substantial burden, there are currently no FDA-approved therapies for PBH.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Avexitide is a GLP-1 receptor antagonist designed to competitively bind to the GLP-1 receptor on pancreatic islet beta cells and inhibit the exaggerated GLP-1-driven insulin response characteristic of PBH, reducing inappropriate insulin secretion and stabilizing blood glucose levels.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LUCIDITY (NCT06747468) is a 78-participant, multicenter, randomized, double-blind, placebo-controlled Phase 3 clinical trial evaluating the efficacy and safety of avexitide in participants with PBH following RYGB surgery. The Phase 3 trial is being conducted at 21 sites in the U.S. Participants were randomized 3:2 to receive either 90 mg of avexitide subcutaneously once daily or placebo. The trial includes an up to six-week screening period, including a three-week run-in period, a 16-week double-blind treatment period, and an open-label extension (OLE) period with a duration of 32 weeks. The last participant completed the final trial visit in the 16-week double-blind period of the LUCIDITY trial of avexitide. The primary efficacy objective of LUCIDITY is to evaluate the FDA-agreed-upon primary outcome of reduction in the composite of Level 2 and Level 3 hypoglycemic events through Week 16. Safety and tolerability will also be evaluated. We continue to expect to announce topline data in the third quarter of 2026, and, if approved, a commercial launch in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LUCIDITY was informed by data from five clinical trials of avexitide in people with PBH showing consistent, dose-dependent effects across studies. The five clinical trials include a Phase 1 trial, a single ascending dose trial, a multiple ascending dose trial, and two Phase 2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Phase 2 (PREVENT), 28-day, randomized, placebo-controlled crossover trial (n=18), results showed a significant reduction in rates of Level 2 and 3 hypoglycemic events in participants with PBH after RYGB surgery following treatment with 30 mg twice daily and 60 mg once daily of avexitide compared with placebo. PREVENT’s primary endpoint was met with statistical significance, showing both avexitide dosing regimens improved the lowest glucose level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(nadir) after a meal as measured during formal mixed meal tolerance testing, or MMTT. Mean plasma glucose nadir was increased by 21% (p=0.001) and 26% (p=0.0002) following avexitide 30 mg twice daily and 60 mg once daily dosing, respectively, compared to placebo. Avexitide was generally well-tolerated. The most common adverse events, or AEs, were injection site bruising, headache, and nausea; these occurred more often with placebo than either avexitide dose. No participants withdrew due to AEs.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Phase 2b, 28-day, open-label, investigator-initiated, crossover trial (n=16), 90 mg once daily and 45 mg twice daily of avexitide met its primary endpoint and significantly reduced rates of hypoglycemic events in participants following a variety of upper gastrointestinal surgeries, including RYGB, sleeve gastrectomy, esophagectomy, Nissen fundoplication, and gastrectomy. Participants in the Phase 2b trial receiving 90 mg once daily of avexitide, the dose we are evaluating in LUCIDITY, saw a statistically significant 53% reduction in Level 2 hypoglycemic events (p=0.004) and a statistically significant 66% reduction in Level 3 hypoglycemic events (p=0.0003). There were no reported serious AEs, and AEs were mostly mild to moderate and resolved without medical treatment. The most common AEs included diarrhea, headache, bloating, and injection site reaction/bruising. No participant withdrew due to AEs. In the Phase 2b trial, 90 mg once daily of avexitide has also demonstrated a favorable pharmacokinetic profile maintaining exposure in the therapeutic range through 24 hours, supporting once daily dosing.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Avexitide was generally well-tolerated, with a favorable safety profile replicated across the five previous clinical trials in people with PBH. In addition, avexitide demonstrated a clear GLP-1 antagonist pharmacodynamic effect, including lowering insulin and raising the glucose nadir, in healthy volunteers.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July 2025, we presented new exploratory analyses from the Phase 2 PREVENT and Phase 2b clinical trials of avexitide for the treatment of PBH at the Endocrine Society’s annual meeting. In the Phase 2b trial, avexitide 90 mg once daily led to a 64% least-squares mean reduction (p=0.0031) versus baseline in the composite rate of Level 2 and Level 3 hypoglycemic events in PBH, with more than half of the participants experiencing no events during the treatment period. The 45 mg twice daily, 30 mg twice daily, and 60 mg once daily dose regimens all likewise demonstrated consistent reductions in composite rate of Level 2 and Level 3 hypoglycemic events. New pharmacokinetic and pharmacodynamic data were also presented, demonstrating continuous pharmacologic activity of the 90 mg once daily dose regimen for a 24-hour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2026, we announced the initiation of an Expanded Access Program (EAP) for the use of avexitide to treat U.S. adults with PBH following RYGB surgery. Initial eligible patients include individuals who have completed the pivotal Phase 3 LUCIDITY clinical trial and participants in a prior trial of avexitide in PBH following RYGB surgery.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congenital HI, we are actively engaging in discussions with the broader congenital HI community to develop a path forward.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avexitide, we are advancing AMX0035, an oral, fixed-dose combination of sodium phenylbutyrate and taurursodiol in Wolfram syndrome, AMX0114 in ALS, and AMX0318 in PBH and other rare diseases.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AMX0035 is designed to slow or mitigate neurodegeneration by targeting endoplasmic reticulum, or ER stress, and mitochondrial dysfunction, two connected central pathways that lead to cell death and neurodegeneration. We are investigating AMX0035 in Wolfram syndrome, a neurodegenerative disease where ER stress and mitochondrial dysfunction are implicated.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Wolfram syndrome is a rare, monogenic, progressive neurodegenerative disorder that progressively impacts multiple organs and systems. Wolfram syndrome is characterized by childhood-onset diabetes mellitus, optic nerve atrophy, and neurodegeneration. Common manifestations of Wolfram syndrome include diabetes mellitus and diabetes insipidus, gradual vision loss leading to blindness, hearing loss, neurogenic bladder, difficulties with balance and coordination, and difficulty breathing that can lead to respiratory failure and premature mortality. Wolfram syndrome is most commonly caused by pathogenic variants in Wolfram syndrome type 1 gene, or WFS1. Because of the clear link between WFS1 mutations and ER stress, Wolfram syndrome is considered a prototypical ER stress disorder. Wolfram syndrome affects approximately 3,000 people living in the U.S., and there are currently no FDA-approved treatment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preclinical models, treatment with AMX0035 improved WFS1 protein expression, increased insulin secretion, and inhibited beta cell death in cells derived from people with Wolfram syndrome. AMX0035 also prevented cell death in neuronal cells derived from people with Wolfram syndrome and significantly delayed progression of the diabetes phenotype in a WFS1-knock-out preclinical model.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2024, we announced positive topline data from the Phase 2 open-label HELIOS (NCT05676034) clinical trial of AMX0035 in 12 adults living with Wolfram syndrome. HELIOS is a single-site, single-arm, open-label, proof of biology, Phase 2 trial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to study the effect of AMX0035 on safety and tolerability, and various measures of endocrinological, neurological, and ophthalmologic function in adult participants living with Wolfram syndrome. HELIOS showed improvement in pancreatic beta cell function, as measured by C-peptide response after 24 weeks of treatment with AMX0035, the study’s primary efficacy endpoint, in contrast to the expected decrease in pancreatic function with disease progression. Similar overall improvements or stabilization were observed across all secondary endpoints, including hemoglobin A1c (HbA1c), time in target glucose range assessed by continuous glucose monitoring, and visual acuity. In addition, longer-term data for all participants who completed Week 36 (n=10) and Week 48 (n=6) assessments showed sustained improvement over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2025, we announced positive data from HELIOS at Week 48. Consistent with the HELIOS trial’s previously presented primary efficacy outcome of improvement in pancreatic function (as described above), treatment with AMX0035 through Week 48 demonstrated continued and sustained improvement in pancreatic beta cell function. Treatment with AMX0035 from Week 24 to Week 48 also showed sustained improvements or stabilization in glycemic control, as measured by hemoglobin A1c, or HbA1c, and time in target glucose range assessed by continuous glucose monitoring, as well as visual acuity. All participants with available measurements met the responder criteria, defined as either improvement or no change, on both the Patient Global Impression of Change and Clinician Global Impression of Change at Weeks 24 and 48, indicating stability or improvement in their Wolfram syndrome-related symptoms. Results from qualitative on-study interviews further supported the potential positive impact of AMX0035 on symptom burden. In June 2026, we presented longer-term Week 96 (n=9) data from HELIOS. At Week 96, measures of pancreatic function and glycemic control were stable or improved relative to baseline in most participants. Visual acuity and patient- and clinician-reported outcomes showed patterns consistent with disease stabilization with interpretation limited by the open-label, single-arm design and small sample size.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safety profile of AMX0035 in HELIOS data at Week 96, Week 48, and Week 24 were generally consistent with prior safety data from the studies of AMX0035. Nearly all AEs were mild or moderate, and there were no serious AEs related to AMX0035 treatment. We continue to work with the FDA on a Phase 3 trial in Wolfram syndrome.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are committed to supporting medically and scientifically sound research, including externally-sponsored research conducted with an institution or organization. Breakthrough T1D has provided funding to University of Washington and Amsterdam University Medical Center for a trial investigating AMX0035 as adjunctive therapy for treatment of insulin resistance in type 1 diabetes. We will provide clinical trial supply of AMX0035.</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AMX0114 is an investigational antisense oligonucleotide, or ASO, targeting calpain-2, or </w:t>
      </w:r>
      <w:r>
        <w:rPr>
          <w:rFonts w:ascii="Times New Roman" w:hAnsi="Times New Roman"/>
          <w:i/>
          <w:color w:val="000000"/>
          <w:sz w:val="20"/>
        </w:rPr>
        <w:t xml:space="preserve">CAPN2, </w:t>
      </w:r>
      <w:r>
        <w:rPr>
          <w:rFonts w:ascii="Times New Roman" w:hAnsi="Times New Roman"/>
          <w:color w:val="000000"/>
          <w:sz w:val="20"/>
        </w:rPr>
        <w:t xml:space="preserve">with FDA Fast Track Designation for the potential treatment of ALS. Decades of scientific literature and published data demonstrate that </w:t>
      </w:r>
      <w:r>
        <w:rPr>
          <w:rFonts w:ascii="Times New Roman" w:hAnsi="Times New Roman"/>
          <w:i/>
          <w:color w:val="000000"/>
          <w:sz w:val="20"/>
        </w:rPr>
        <w:t>CAPN2</w:t>
      </w:r>
      <w:r>
        <w:rPr>
          <w:rFonts w:ascii="Times New Roman" w:hAnsi="Times New Roman"/>
          <w:color w:val="000000"/>
          <w:sz w:val="20"/>
        </w:rPr>
        <w:t>, a protein involved in neurofilament biology, plays an essential role in axonal degeneration, which is a critical effector in the progression of various neurodegenerative diseases including ALS. ALS is a relentlessly progressive and fatal neurodegenerative disorder caused by motor neuron death in the brain and spinal cord. One of the ways ALS progresses is through axonal degeneration, which disrupts neural connectivity and contributes significantly to disease pathology. Motor neuron loss in ALS leads to deteriorating muscle function, the inability to move and speak, respiratory paralysis, and, eventually, death. ALS is defined as a rare disease, but it affects as many as 30,000 adults in the U.S. and 3,000 in Canada. The most common form of the disease is sporadic ALS, with more than 90% of people with ALS showing no clear family history.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preclinical studies, treatment with AMX0114 resulted in potent, dose-dependent, and durable reduction in </w:t>
      </w:r>
      <w:r>
        <w:rPr>
          <w:rFonts w:ascii="Times New Roman" w:hAnsi="Times New Roman"/>
          <w:i/>
          <w:color w:val="000000"/>
          <w:sz w:val="20"/>
        </w:rPr>
        <w:t>CAPN2</w:t>
      </w:r>
      <w:r>
        <w:rPr>
          <w:rFonts w:ascii="Times New Roman" w:hAnsi="Times New Roman"/>
          <w:color w:val="000000"/>
          <w:sz w:val="20"/>
        </w:rPr>
        <w:t xml:space="preserve"> mRNA and calpain-2 protein levels in disease-relevant cell models of axonal degeneration. This translated to improved neuronal survival and reductions in extracellular neurofilament light chain, or NfL levels, a broadly researched biomarker for axonal degeneration in ALS, across multiple disease models and paradigms of neuronal injury. AMX0114 was generally well-tolerated in in vivo preclinical safety studies.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Phase 1 LUMINA clinical trial (NCT06665165) is a multinational, randomized, double-blind, placebo-controlled, multiple ascending dose trial evaluating the safety, tolerability, pharmacokinetics, and pharmacodynamics of AMX0114 in people living with ALS. LUMINA will also assess change from baseline in calpain-2 levels, NfL levels, and other pharmacodynamic biomarkers of ALS. LUMINA is anticipated to enroll approximately 48 adult participants. Participants will be randomized 3:1 to receive AMX0114 or placebo by intrathecal administration once every four weeks for a total of up to four doses.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June 2026, we presented Cohort 1 biomarker data at the Annual Meeting of the European Network to Cure ALS. AMX0114 showed no drug-related serious adverse events, or SAEs, and no serious nervous system disorder adverse events, or AEs, in Cohort 1 (lowest dose level 12.5 mg). These safety findings support continued evaluation of AMX0114 at higher dose levels in this multiple ascending dose trial. Biomarker levels, including spectrin breakdown product 145, or SBDP-145, neurofilament light, or NfL, and phosphorylated neurofilament heavy, or pNFH, remained near baseline at Day 145. Cohorts 1 and Cohort 2 (25 mg) are fully enrolled, and Cohort 3 (50 mg) is currently enrolling.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AMX0318 is a novel GLP-1 receptor antagonist for long-acting administration selected as a development candidate for PBH and other rare diseases in January 2026. AMX0318 was selected as a development candidate after demonstrating robust preclinical and chemical properties, including a favorable pharmacokinetic profile that may support long-acting administration, a robust chemical stability profile, strong </w:t>
      </w:r>
      <w:r>
        <w:rPr>
          <w:rFonts w:ascii="Times New Roman" w:hAnsi="Times New Roman"/>
          <w:i/>
          <w:color w:val="000000"/>
          <w:sz w:val="20"/>
        </w:rPr>
        <w:t>in vitro</w:t>
      </w:r>
      <w:r>
        <w:rPr>
          <w:rFonts w:ascii="Times New Roman" w:hAnsi="Times New Roman"/>
          <w:color w:val="000000"/>
          <w:sz w:val="20"/>
        </w:rPr>
        <w:t xml:space="preserve"> potency, evidence of </w:t>
      </w:r>
      <w:r>
        <w:rPr>
          <w:rFonts w:ascii="Times New Roman" w:hAnsi="Times New Roman"/>
          <w:i/>
          <w:color w:val="000000"/>
          <w:sz w:val="20"/>
        </w:rPr>
        <w:t>in vivo</w:t>
      </w:r>
      <w:r>
        <w:rPr>
          <w:rFonts w:ascii="Times New Roman" w:hAnsi="Times New Roman"/>
          <w:color w:val="000000"/>
          <w:sz w:val="20"/>
        </w:rPr>
        <w:t xml:space="preserve"> activity and tolerability, and high solubility. AMX0318 was identified through a research collaboration with Gubra, a company specializing in peptide-based drug discovery and preclinical contract research services. IND-enabling studies for AMX0318 are underway with an IND submission targeted for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entered into a second research collaboration with Gubra in July 2026 to identify potential development candidates for a rare endocrine disease of high unmet need.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we had cash, cash equivalents and marketable securities of $250.8 million and an accumulated deficit of $836.1 million. We believe our existing cash, cash equivalents and marketable securities as of June 30, 2026 will be sufficient to fund our operations into 2028. We have based this estimate on assumptions that may prove to be wrong, and we could exhaust our available capital resources sooner than we expect. See “Liquidity and Capital Resources” below.</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costs incurred in connection with the research and development of avexitide, AMX0035, AMX0114, AMX0318 and other potential future product candidates. We expense research and development costs as incurred. These expenses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under agreements with CROs, CMOs, as well as investigative sites and consultants that conduct our clinical trials, preclinical studies and other scientific development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scale-up expenses and the cost of acquiring and manufacturing drug product for our preclinical studies and clinical trials, including manufacturing registration and validation batches, as well as pre-commercial manufacturing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to acquire technologies to be used in research and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employee-related expenses, including salaries, payroll taxes, related benefits and stock-based compensation expense for employees engaged in research and development functions;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compliance with quality and regulatory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of our indirect research and development expenses are not tracked on an indication-by-indication basis. We do not allocate employee costs and facilities, including depreciation or other indirect costs, to specific indications because these costs are deployed across multiple indications and, as such, are not separately classified. We use internal resources to oversee the research and discovery as well as to manage our preclinical development, process development, manufacturing and clinical development activities. These employees work across multiple indications and, therefore, we do not track their costs by indication.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activities are central to our business model. Product candidates such as avexitide and AMX0035 in later stages of clinical development generally have higher development costs than those in earlier stages of clinical development, such as AMX0114 and AMX0318, primarily due to the increased size and duration of later-stage clinical trials and related product manufacturing expenses. We expect that our research and development expenses will increase in connection with our planned clinical development activities in the near term and in the future. At this time, we cannot accurately estimate or know the nature, timing and costs of the efforts that will be necessary to complete the clinical development of avexitide, AMX0035, AMX0114, AMX0318 and any future product candidates. Our clinical development costs may vary significantly based on factors such 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patient trial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trials required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sites included in the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countries in which the trials are conducted;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length of time required to enroll eligible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that participate in the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doses that patients receive;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drop-out or discontinuation rates of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additional safety monitoring requested by regulatory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duration of patient participation in the trials and follow-up periods;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manufacturing our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phase of development of our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profile from clinical trials and preclinical studies of our current or future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product candidates we are developing.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successful development and commercialization of avexitide, AMX0035, AMX0114, AMX0318 and any other current or future product candidates is highly uncertain, due to the numerous risks and uncertainties associated with product development and commercialization,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progress of preclinical and clinical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of preclinical and clinical trials for separate indications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raising additional funds, if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of the development efforts of parties with whom we may enter into collaboration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current development activities and to establish new ones;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new licensing or collaboration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initiation and completion of clinical trials with safety, tolerability and efficacy profiles that are satisfactory to the FDA or any other comparable foreign regulatory authority;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drug substance and drug product for use in production of avexitide, AMX0035 or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agreements with third-party manufacturers for clinical supply for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patents, trade secret protection and regulatory exclusivity, both in the U.S. and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our rights in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third-party insurance coverage and adequate reimbursement in the future for any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acceptance of our products and product candidates, if approved, by patients, the medical community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with other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continued acceptable safety profile of our therapies in pre-approval market access programs or in commercial access following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change in the outcome of any of these variables with respect to the development of avexitide, AMX0035, AMX0114, AMX0318 or any other current or future product candidates could have a significant impact on the cost and timing associated with the development of our product candidates. We may never succeed in obtaining or maintaining, as applicable, regulatory approval for avexitide, AMX0035, AMX0114, AMX0318 or any other current or future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Selling, general and administrative expenses consist primarily of salaries and related costs for personnel in executive, finance, sales, marketing, as well as administrative functions. Selling, general and administrative expenses also include legal fees relating to patent and corporate matters; professional fees for accounting, auditing, tax and administrative consulting services; corporate insurance costs; administrative travel expenses; sales and marketing expenses; information technology; charitable donations to independent charitable foundations; facility-related and other operating costs. We expect that selling, general and administrative expenses will continue to increase in future periods as we continue to increase headcount, advance our clinical pipeline, and incur significant costs related to our pre-commercialization activities as we prepare for potential near term regulatory approvals.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historically not incurred significant income taxes. We continue to maintain a full valuation allowance against all of our deferred tax assets based on management’s evaluation of all available evidence, including our history of incurring significant losses from operations. As a result, we do not expect to incur material income taxes for the foreseeable future.</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periods presented (in thousands): </w:t>
      </w:r>
    </w:p>
    <w:p>
      <w:pPr>
        <w:pStyle w:val="TextBody"/>
        <w:bidi w:val="0"/>
        <w:jc w:val="left"/>
        <w:rPr/>
      </w:pPr>
      <w:r>
        <w:rPr/>
        <w:t> </w:t>
      </w:r>
    </w:p>
    <w:tbl>
      <w:tblPr>
        <w:tblW w:w="8498" w:type="dxa"/>
        <w:jc w:val="left"/>
        <w:tblInd w:w="0" w:type="dxa"/>
        <w:tblLayout w:type="fixed"/>
        <w:tblCellMar>
          <w:top w:w="28" w:type="dxa"/>
          <w:left w:w="28" w:type="dxa"/>
          <w:bottom w:w="28" w:type="dxa"/>
          <w:right w:w="28" w:type="dxa"/>
        </w:tblCellMar>
      </w:tblPr>
      <w:tblGrid>
        <w:gridCol w:w="2751"/>
        <w:gridCol w:w="146"/>
        <w:gridCol w:w="236"/>
        <w:gridCol w:w="798"/>
        <w:gridCol w:w="200"/>
        <w:gridCol w:w="176"/>
        <w:gridCol w:w="236"/>
        <w:gridCol w:w="798"/>
        <w:gridCol w:w="166"/>
        <w:gridCol w:w="146"/>
        <w:gridCol w:w="214"/>
        <w:gridCol w:w="627"/>
        <w:gridCol w:w="166"/>
        <w:gridCol w:w="146"/>
        <w:gridCol w:w="276"/>
        <w:gridCol w:w="655"/>
        <w:gridCol w:w="761"/>
      </w:tblGrid>
      <w:tr>
        <w:trPr/>
        <w:tc>
          <w:tcPr>
            <w:tcW w:w="2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23,768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21,925</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45,693</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(45,693</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2,323</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2,270</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(43,423</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pBdr>
          <w:bottom w:val="single" w:sz="6" w:space="1" w:color="000000"/>
        </w:pBdr>
        <w:bidi w:val="0"/>
        <w:spacing w:before="0" w:after="60"/>
        <w:jc w:val="left"/>
        <w:rPr/>
      </w:pPr>
      <w:r>
        <w:rPr/>
        <w:t> </w:t>
      </w:r>
    </w:p>
    <w:p>
      <w:pPr>
        <w:pStyle w:val="TextBody"/>
        <w:bidi w:val="0"/>
        <w:jc w:val="left"/>
        <w:rPr>
          <w:rFonts w:ascii="Times New Roman" w:hAnsi="Times New Roman"/>
          <w:sz w:val="20"/>
        </w:rPr>
      </w:pPr>
      <w:r>
        <w:rPr>
          <w:rFonts w:ascii="Times New Roman" w:hAnsi="Times New Roman"/>
          <w:color w:val="000000"/>
          <w:sz w:val="16"/>
        </w:rPr>
        <w:t>* NM - not meaningful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three months ended June 30, 2026 and 2025 (in thousands): </w:t>
      </w:r>
    </w:p>
    <w:p>
      <w:pPr>
        <w:pStyle w:val="TextBody"/>
        <w:bidi w:val="0"/>
        <w:jc w:val="left"/>
        <w:rPr/>
      </w:pPr>
      <w:r>
        <w:rPr/>
        <w:t> </w:t>
      </w:r>
    </w:p>
    <w:tbl>
      <w:tblPr>
        <w:tblW w:w="9878" w:type="dxa"/>
        <w:jc w:val="left"/>
        <w:tblInd w:w="0" w:type="dxa"/>
        <w:tblLayout w:type="fixed"/>
        <w:tblCellMar>
          <w:top w:w="28" w:type="dxa"/>
          <w:left w:w="28" w:type="dxa"/>
          <w:bottom w:w="28" w:type="dxa"/>
          <w:right w:w="28" w:type="dxa"/>
        </w:tblCellMar>
      </w:tblPr>
      <w:tblGrid>
        <w:gridCol w:w="4351"/>
        <w:gridCol w:w="146"/>
        <w:gridCol w:w="254"/>
        <w:gridCol w:w="779"/>
        <w:gridCol w:w="189"/>
        <w:gridCol w:w="189"/>
        <w:gridCol w:w="254"/>
        <w:gridCol w:w="779"/>
        <w:gridCol w:w="146"/>
        <w:gridCol w:w="146"/>
        <w:gridCol w:w="214"/>
        <w:gridCol w:w="627"/>
        <w:gridCol w:w="166"/>
        <w:gridCol w:w="146"/>
        <w:gridCol w:w="276"/>
        <w:gridCol w:w="655"/>
        <w:gridCol w:w="56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research and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Avexitide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AMX0035 - PSP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4,632</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direct research and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14,026</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Payroll and personnel-related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9,742</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23,768</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5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pBdr>
          <w:bottom w:val="single" w:sz="6" w:space="1" w:color="000000"/>
        </w:pBdr>
        <w:bidi w:val="0"/>
        <w:spacing w:before="0" w:after="6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NM - not meaningful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were $23.8 million for the three months ended June 30, 2026, compared to $27.2 million for the three months ended June 30, 2025. The decrease was primarily due to a $7.1 million decrease in expenses related to AMX0035 for the treatment of PSP after its discontinuation. The decrease was partially offset by a $2.3 million increase in expenses related to the pivotal Phase 3 LUCIDITY clinical trial in PBH and other costs related to avexitide.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Selling, general and administrative expenses were $21.9 million for the three months ended June 30, 2026 compared to $15.6 million for the three months ended June 30, 2025. The increase was primarily due to increases of $5.6 million in consulting and professional services and $1.0 million in payroll and personnel-related costs, including stock-based compensation, partially offset by a decrease of $0.3 million in other expenses. The increase in consulting and professional services was primarily due to increased spend for legal expenses related to the settlement of the February 2024 Shih Complaint, as well as an increase in commercial and marketing activity as we prepare for a potential commercial launch of avexitide, if approved. The increase in payroll and personnel-related costs was primarily due to hiring additional personnel to support our pre-commercialization activities.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 (in thousands):</w:t>
      </w:r>
    </w:p>
    <w:p>
      <w:pPr>
        <w:pStyle w:val="TextBody"/>
        <w:bidi w:val="0"/>
        <w:jc w:val="left"/>
        <w:rPr/>
      </w:pPr>
      <w:r>
        <w:rPr/>
        <w:t> </w:t>
      </w:r>
    </w:p>
    <w:tbl>
      <w:tblPr>
        <w:tblW w:w="8288" w:type="dxa"/>
        <w:jc w:val="left"/>
        <w:tblInd w:w="0" w:type="dxa"/>
        <w:tblLayout w:type="fixed"/>
        <w:tblCellMar>
          <w:top w:w="28" w:type="dxa"/>
          <w:left w:w="28" w:type="dxa"/>
          <w:bottom w:w="28" w:type="dxa"/>
          <w:right w:w="28" w:type="dxa"/>
        </w:tblCellMar>
      </w:tblPr>
      <w:tblGrid>
        <w:gridCol w:w="2751"/>
        <w:gridCol w:w="146"/>
        <w:gridCol w:w="216"/>
        <w:gridCol w:w="729"/>
        <w:gridCol w:w="183"/>
        <w:gridCol w:w="161"/>
        <w:gridCol w:w="216"/>
        <w:gridCol w:w="729"/>
        <w:gridCol w:w="166"/>
        <w:gridCol w:w="146"/>
        <w:gridCol w:w="214"/>
        <w:gridCol w:w="627"/>
        <w:gridCol w:w="166"/>
        <w:gridCol w:w="146"/>
        <w:gridCol w:w="276"/>
        <w:gridCol w:w="655"/>
        <w:gridCol w:w="761"/>
      </w:tblGrid>
      <w:tr>
        <w:trPr/>
        <w:tc>
          <w:tcPr>
            <w:tcW w:w="2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51,379</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38,093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89,472</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(89,472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(84,707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(84,707</w:t>
            </w:r>
          </w:p>
        </w:tc>
        <w:tc>
          <w:tcPr>
            <w:tcW w:w="18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(77,350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7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following table summarizes our research and development expenses for the </w:t>
      </w:r>
      <w:r>
        <w:rPr>
          <w:rFonts w:ascii="Times New Roman" w:hAnsi="Times New Roman"/>
          <w:i/>
          <w:color w:val="000000"/>
          <w:sz w:val="20"/>
        </w:rPr>
        <w:t xml:space="preserve">six months ended June 30, 2026 and 2025 </w:t>
      </w:r>
      <w:r>
        <w:rPr>
          <w:rFonts w:ascii="Times New Roman" w:hAnsi="Times New Roman"/>
          <w:color w:val="000000"/>
          <w:sz w:val="20"/>
        </w:rPr>
        <w:t>(in thousands):</w:t>
      </w:r>
    </w:p>
    <w:p>
      <w:pPr>
        <w:pStyle w:val="TextBody"/>
        <w:bidi w:val="0"/>
        <w:jc w:val="left"/>
        <w:rPr/>
      </w:pPr>
      <w:r>
        <w:rPr/>
        <w:t> </w:t>
      </w:r>
    </w:p>
    <w:tbl>
      <w:tblPr>
        <w:tblW w:w="9684" w:type="dxa"/>
        <w:jc w:val="left"/>
        <w:tblInd w:w="0" w:type="dxa"/>
        <w:tblLayout w:type="fixed"/>
        <w:tblCellMar>
          <w:top w:w="28" w:type="dxa"/>
          <w:left w:w="28" w:type="dxa"/>
          <w:bottom w:w="28" w:type="dxa"/>
          <w:right w:w="28" w:type="dxa"/>
        </w:tblCellMar>
      </w:tblPr>
      <w:tblGrid>
        <w:gridCol w:w="4351"/>
        <w:gridCol w:w="146"/>
        <w:gridCol w:w="232"/>
        <w:gridCol w:w="712"/>
        <w:gridCol w:w="173"/>
        <w:gridCol w:w="173"/>
        <w:gridCol w:w="232"/>
        <w:gridCol w:w="712"/>
        <w:gridCol w:w="146"/>
        <w:gridCol w:w="146"/>
        <w:gridCol w:w="196"/>
        <w:gridCol w:w="661"/>
        <w:gridCol w:w="166"/>
        <w:gridCol w:w="146"/>
        <w:gridCol w:w="276"/>
        <w:gridCol w:w="655"/>
        <w:gridCol w:w="56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research and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Avexitide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19,348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AMX0035 – PSP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12,609</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direct research and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32,642</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Payroll and personnel-related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18,737</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51,379</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5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were $51.4 million for the six months ended June 30, 2026, compared to $49.3 million for the six months ended June 30, 2025. The increase was primarily due to a $6.8 million increase in expenses related to the pivotal Phase 3 LUCIDITY clinical trial in PBH and other costs related to avexitide, and a $4.1 million increase in expenses related to other programs, including milestone payments totaling $4.0 million made to Gubra following the selection and handover of AMX0318 as a development candidate for PBH and other rare diseases during the six months ended June 30, 2026. The increase was partially offset by a $11.0 million decrease in expenses related to AMX0035 for the treatment of PSP after its discontinuation.</w:t>
      </w:r>
    </w:p>
    <w:p>
      <w:pPr>
        <w:pStyle w:val="TextBody"/>
        <w:bidi w:val="0"/>
        <w:spacing w:before="240" w:after="283"/>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Selling, general and administrative expenses were $38.1 million for the six months ended June 30, 2026 compared to $31.3 million for the six months ended June 30, 2025. The increase was primarily due to increases of $6.3 million in consulting and professional services and $1.0 million in payroll and personnel-related costs, including stock-based compensation, partially offset by a decrease of $0.5 million in other expenses. The increase in consulting and professional services was primarily due to increased spend for legal expenses related to the settlement of the February 2024 Shih Complaint, as well as an increase in commercial and marketing activity as we prepare for a potential commercial launch of avexitide, if approved. The increase in payroll and personnel-related costs was primarily due to hiring additional personnel to support our pre-commercialization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Sources of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we had cash, cash equivalents and marketable securities of $250.8 million and an accumulated deficit of $836.1 million. We believe our existing cash, cash equivalents and marketable securities as of June 30, 2026 will be sufficient to fund our operations into 2028. We have based this estimate on assumptions that may prove to be wrong, and we could exhaust our available capital resources sooner than we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inception, we have devoted substantially all of our efforts to research and development, pre-commercialization and commercialization activities, including recruiting management and technical staff, raising capital, producing materials for preclinical studies and clinical trials, and building infrastructure to support such activities. As of June 30, 2026, we have funded our operations primarily through public offerings of our common stock, private sales of preferred stock, convertible notes, and through revenue from sales of RELYVRIO and ALBRIOZA in the U.S. and Canada, respectively, between July 2022 and April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finance our near-term operations through our existing cash, cash equivalents and marketable securities and if needed, the sale of equity, debt financings or other capital sources, including potential collaborations with other companies, royalty financings, or other strategic transactions. Our inability to raise capital or secure other funding as and when needed could have a negative impact on our financial condition and ability to pursue our business strategies. There can be no assurances that our current operating plan will be achieved or that additional funding, if required, will be available on terms acceptable to us, or at all.</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Capital Resources and Uses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our expenses to increase in connection with our ongoing activities, particularly as we advance the preclinical activities, manufacturing and clinical trials of avexitide, AMX0035, AMX0114, AMX0318 and any other current or future product candidates or acquire or in-license additional product candidates or products. We may also incur expenses related to business development activities, such as in-licensing or acquisition of product candidates. In addition, we expect to incur additional costs associated with operating as a public company, including significant legal, accounting, investor relations and other expenses. We expect to incur significant expenses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our research and development efforts of avexitide in PBH, or any other indications, and conduct clinical trials of avexitide;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our research and development efforts of AMX0035, including our ongoing Phase 2 trial of AMX0035 for the treatment of Wolfram syndrome and winding down of the Phase 2b/3 trial of AMX0035 in PSP;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our research and development efforts of AMX0114, including our ongoing Phase 1 clinical trial of AMX0114 for the treatment of 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INDs of AMX0035 for additional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preclinical studies and clinical trials for AMX0035 for additional indications and for potential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our preclinical efforts of AMX0318, including advancing IND-enabling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identify and develop, acquire or in-license additional product candidates or other assets, including through our recent collaboration agreement with Gubra;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any delays or encounter any issues with any of the above, including but not limited to failed studies, complex results, safety issues, or other regulatory challenges;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the necessary processes, controls and manufacturing data to obtain marketing approval for current or future product candidates and to support manufacturing on a commercial scale;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approvals for any current or future product candidates that successfully complete clinical trials,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expenses in preparation for commercialization for any approved product candidates related to product sales, marketing, manufacturing, and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and retain additional personnel, such as preclinical, clinical, quality assurance, regulatory affairs, manufacturing, distribution, legal, compliance, finance, general and administrative, commercial and scientific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maintain, expand and protect our intellectual property portfolio.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research, development and commercialization of product candidates and programs, we are unable to estimate the exact amount of our working capital requirements. Our future funding requirements will depend on and could increase significantly as a result of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drug discovery, laboratory testing, preclinical and clinical development for avexitide, AMX0035, AMX0114, AMX0318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any future commercialization activities, including manufacturing, marketing, sales and distribution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review of avexitide, AMX0035, AMX0114, AMX0318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collaborations, marketing, distribution and license agreements on favorable terms,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enroll clinical trials in a timely manner and to quickly resolve any delays or clinical holds that may be imposed on our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delays with respect to preclinical and clinical development of avexitide, AMX0035, AMX0114, AMX0318 and any future product candidates, including as result of any future outbreak of any highly infectious or contagious diseases;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identifying and developing, acquiring or in-licensing additional product candidates 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any future expansion of our facilities to accommodate our potential growth in personnel, and the costs of such additional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technologies or other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sales price and availability of adequate third-party coverage and reimbursement for any future product candidates, if and when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current and potential legal proceedings that may not be covered by our insurance;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operating as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if ever, that we can generate product revenue sufficient to sustain profitability, we may finance our cash needs through equity offerings, debt financings, government or other third-party funding, marketing and distribution arrangements and other collaborations, strategic alliances and licensing arrangements. To the extent that we raise additional capital through the sale of common stock, convertible securities or other equity securities, current ownership interests will be diluted. If we raise additional funds through collaborations or marketing, distribution or licensing arrangements with third parties, we may have to relinquish valuable rights to our technologies, future revenue streams or product candidates or grant licenses on terms that may not be favorable to us. In addition, debt financing, if available, may result in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Comparison of the six months ended June 30, 2026 and 2025</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sources and uses of cash for the periods presented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06"/>
        <w:gridCol w:w="146"/>
        <w:gridCol w:w="204"/>
        <w:gridCol w:w="782"/>
        <w:gridCol w:w="172"/>
        <w:gridCol w:w="151"/>
        <w:gridCol w:w="204"/>
        <w:gridCol w:w="688"/>
        <w:gridCol w:w="166"/>
        <w:gridCol w:w="146"/>
        <w:gridCol w:w="196"/>
        <w:gridCol w:w="751"/>
        <w:gridCol w:w="166"/>
        <w:gridCol w:w="146"/>
        <w:gridCol w:w="233"/>
        <w:gridCol w:w="698"/>
        <w:gridCol w:w="350"/>
      </w:tblGrid>
      <w:tr>
        <w:trPr/>
        <w:tc>
          <w:tcPr>
            <w:tcW w:w="5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(68,306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(113,535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changes on cash, cash equivalents and 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cash equivalents and 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(177,324</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operating activities used $68.3 million of cash, primarily resulting from our net loss of $84.7 million, $1.8 million net accretion of discounts on investments, and $0.4 million of net cash used by changes in our operating assets and liabilities, offset by $14.4 million of non-cash stock-based compensation expense and a $4.0 million charge for IPR&amp;D milestones related to the Gubra collaboration.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by changes in our operating assets and liabilities primarily consisted of a $3.5 million decrease in accrued expenses and a $0.7 million decrease in operating lease liabilities, offset by a $1.1 million decrease in prepaid expenses and other current assets and a $2.0 million increase in accounts payable.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2025, operating activities used $65.1 million of cash, primarily resulting from our net loss of $77.4 million and $3.2 million net accretion of discounts on investments, offset by $14.2 million of non-cash stock-based compensation expense and $0.8 million of net cash provided by changes in our operating assets and liabilities.</w:t>
        <w:br/>
        <w:t> </w:t>
      </w:r>
    </w:p>
    <w:p>
      <w:pPr>
        <w:pStyle w:val="TextBody"/>
        <w:bidi w:val="0"/>
        <w:jc w:val="left"/>
        <w:rPr>
          <w:rFonts w:ascii="Times New Roman" w:hAnsi="Times New Roman"/>
          <w:color w:val="000000"/>
          <w:sz w:val="20"/>
        </w:rPr>
      </w:pPr>
      <w:r>
        <w:rPr>
          <w:rFonts w:ascii="Times New Roman" w:hAnsi="Times New Roman"/>
          <w:color w:val="000000"/>
          <w:sz w:val="20"/>
        </w:rPr>
        <w:t>Net cash provided by changes in our operating assets and liabilities primarily consisted of a $6.5 million decrease in prepaid expenses and other current assets, and a $1.1 million decrease in operating ROU assets, offset by a $6.5 million decrease in accrued expenses and a $1.2 million decrease in operating lease liabilities.</w:t>
      </w:r>
    </w:p>
    <w:p>
      <w:pPr>
        <w:pStyle w:val="TextBody"/>
        <w:bidi w:val="0"/>
        <w:spacing w:before="24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net cash used in investing activities was $113.5 million, resulting primarily from $200.5 million of purchases of marketable securities and $4.0 million in IPR&amp;D milestone payments related to the Gubra collaboration, offset by $91.0 million of investments that matured.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2025, net cash used in investing activities was $20.7 million, resulting primarily from $142.6 million of purchases of marketable securities, offset by $122.0 million of investments that matured.</w:t>
      </w:r>
    </w:p>
    <w:p>
      <w:pPr>
        <w:pStyle w:val="TextBody"/>
        <w:bidi w:val="0"/>
        <w:spacing w:before="24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net cash provided by financing activities was $4.7 million. This amount consisted of $4.7 million of proceeds from exercises of stock options and vesting of stock awards, net of withholding taxes paid on stock-based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2025, net cash provided by financing activities was $65.6 million. This amount consisted primarily of $65.6 million in proceeds from the January 2025 Offering, net of offering costs.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Purchase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enter into agreements in the normal course of business with CMOs for raw material purchases and manufacturing services. As of June 30, 2026, our remaining contractual payment obligations under these agreements totaled approximately $35.0 million and are expected to be paid through 2028. Of this amount, approximately $13.6 million is expected to be paid within the next 12 months, and approximately $21.5 million is expected to be paid thereafter through 2028.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Critical Accounting Policies, Recent Accounting Pronouncements and Significant Judgments and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condensed consolidated financial statements are prepared in accordance with generally accepted accounting principles in the U.S. The preparation of our condensed consolidated financial statements and related disclosures requires us to make estimates and judgments that affect the reported amounts of assets, liabilities, costs and expenses, and the disclosure of contingent assets and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240" w:after="240"/>
        <w:jc w:val="left"/>
        <w:rPr>
          <w:rFonts w:ascii="Times New Roman" w:hAnsi="Times New Roman"/>
          <w:sz w:val="20"/>
        </w:rPr>
      </w:pPr>
      <w:r>
        <w:rPr>
          <w:rFonts w:ascii="Times New Roman" w:hAnsi="Times New Roman"/>
          <w:color w:val="000000"/>
          <w:sz w:val="20"/>
        </w:rPr>
        <w:t>There have been no significant changes to our critical accounting policies from those described in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disclosed in our 2025 Annual Report.</w:t>
      </w:r>
    </w:p>
    <w:p>
      <w:pPr>
        <w:pStyle w:val="TextBody"/>
        <w:bidi w:val="0"/>
        <w:jc w:val="left"/>
        <w:rPr>
          <w:rFonts w:ascii="Times New Roman" w:hAnsi="Times New Roman"/>
          <w:b/>
          <w:color w:val="000000"/>
          <w:sz w:val="20"/>
        </w:rPr>
      </w:pPr>
      <w:bookmarkStart w:id="11" w:name="item_3_quantitative_and_qualitative_disc"/>
      <w:bookmarkEnd w:id="11"/>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spacing w:before="240" w:after="283"/>
        <w:jc w:val="left"/>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officers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management, with the participation of our principal executive officers and our principal financial officer, evaluated the effectiveness of our disclosure controls and procedures as of June 30, 2026. Based on the evaluation of our disclosure controls and procedures as of June 30, 2026, our principal executive officers and principal financial officer concluded that, as of such date, our disclosure controls and procedures were effective at a reasonable assurance level.</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jc w:val="left"/>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three months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3" w:name="part_ii_other_information_1"/>
      <w:bookmarkEnd w:id="13"/>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4" w:name="item_1_legal_proceedings_1"/>
      <w:bookmarkEnd w:id="14"/>
      <w:r>
        <w:rPr>
          <w:rFonts w:ascii="Times New Roman" w:hAnsi="Times New Roman"/>
          <w:b/>
          <w:color w:val="000000"/>
          <w:sz w:val="20"/>
        </w:rPr>
        <w:t>Item 1.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9, 2024, a putative class action lawsuit was filed in the U.S. District Court for the Southern District of New York against us and certain of our current and former officers (Shih v. Amylyx Pharmaceuticals, Inc., et al., Case Number 1:24-CV-00988, or the Shih Complaint). Plaintiff filed an amended complaint on June 24, 2024. The Shih Complaint asserts a claim against all defendants for alleged violations of Section 10(b) of the Exchange Act and Rule 10b-5 promulgated thereunder and a claim under Section 20(a) against certain current and former officers as alleged controlling persons. The Shih Complaint alleges that defendants made materially false and misleading statements related to the commercial results and prospects for RELYVRIO. The Shih Complaint seeks unspecified damages, interest, costs and attorneys’ fees, and other unspecified relief that the court deems appropriate. On August 12, 2024, the case was transferred from the U.S. District Court for the Southern District of New York to the U.S. District Court for the District of Massachusetts, or the Court, and assigned docket number 1:24-CV-12068. Following the transfer, on September 6, 2024, defendants moved to dismiss the Shih Complaint. On September 30, 2025, the Court issued an order finding that the majority of the alleged misstatements are inactionable, but ultimately denied the motion to dismiss. The Company filed an answer on October 30, 2025. The parties have reached an agreement in principle to settle the class claims, subject to court approval, for $6.5 million, a significant portion of which was funded by insurance proceeds. On May 19, 2026, the court issued an order preliminarily approving the settlement and scheduled a final settlement approval hearing for September 10,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Shih Complaint, two derivative complaints were filed in the U.S. District Court for the District of Massachusetts on October 2, 2024, Jones v. Cohen, et al., 1:24-cv-12527, and on July 2, 2025, Hassine v. Cohen, et al., 1:25-CV-11879 (together, the Massachusetts Derivative Complaints) against certain current and former director and officer defendants (and naming the company as a nominal defendant). The substantive allegations in the Massachusetts Derivative Complaints mirror those of the Shih Complaint but assert claims for alleged violations of the Exchange Act, breach of fiduciary duty, insider trading, and unjust enrichment (among other common law claims) and seek unspecified damages to be awarded to the Company along with interest, restitution, unspecified corporate governance and internal procedural reforms and improvements, and plaintiff's attorneys' fees and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16, 2025, the parties to both Massachusetts Derivative Complaints moved the Court to consolidate the two actions and stay the consolidated action, which the Court approved on July 22, 2025. On June 12, 2026, following the lifting of the stay, plaintiffs filed an amended complaint. On July 14, 2026, the parties filed a stipulation with the court informing it that they were engaged in the negotiation of as settlement term sheet and seeking an extension to existing deadlines to allow the parties to finalize the term sheet and negotiate a formal settlement agreement, which the court granted on July 15, 2026. In the event that a settlement cannot be reached, Defendants’ deadline to file a motion to dismiss the amended complaint is currently August 13,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7, 2026, a third derivative complaint was filed in Delaware Court of Chancery against certain current and former directors and officer defendants, naming the Company as nominal defendant Schweitzer v. Klee, et al., 2026-0459-BWD (the Schweitzer Complaint and, together with the Massachusetts Derivative Complaints, the Derivative Complaints). Like the Massachusetts Complaints, the substantive allegations of the Schweitzer Complaint mirror those of the Shih Complaint and allege breach of fiduciary duty and other common law claims and seeks unspecified damages with interest, costs, and attorneys’ fees, restitution, and certain corporate governance and internal procedural reforms and improvements. The Schweitzer Complaint plaintiff is participating in the above-referenced settlement negotiations to attempt to resolve the Derivative Complaints. To the extent a resolution of the Derivative Complaints cannot be reached, we intend to defend against the Derivative Complaints vigorously. At this time, an estimate of the impact, if any, of the claims made in the Derivative Complaints cannot be made.</w:t>
      </w:r>
    </w:p>
    <w:p>
      <w:pPr>
        <w:pStyle w:val="TextBody"/>
        <w:bidi w:val="0"/>
        <w:spacing w:before="240" w:after="283"/>
        <w:jc w:val="left"/>
        <w:rPr>
          <w:rFonts w:ascii="Times New Roman" w:hAnsi="Times New Roman"/>
          <w:b/>
          <w:color w:val="000000"/>
          <w:sz w:val="20"/>
        </w:rPr>
      </w:pPr>
      <w:bookmarkStart w:id="15" w:name="item_1a_risk_factors_1"/>
      <w:bookmarkEnd w:id="15"/>
      <w:r>
        <w:rPr>
          <w:rFonts w:ascii="Times New Roman" w:hAnsi="Times New Roman"/>
          <w:b/>
          <w:color w:val="000000"/>
          <w:sz w:val="20"/>
        </w:rPr>
        <w:t>Item 1A. Risk Factors.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Careful consideration should be given to the following risk factors, in addition to the other information set forth in this Quarterly Report and in other documents that we file with the SEC, in evaluating our business and our prospects. Investing in our common stock involves a high degree of risk. If any of the following risks and uncertainties actually occurs, our business, prospects, financial condition and results of operations could be materially and adversely affected. The risks described below are not intended to be exhaustive and are not the only risks that we face. New risk factors can emerge from time to time, and it is not possible to predict the impact that any factor or combination of factors may have on our business, prospects, financial condition and results of operations.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Financial Position and Need for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generate significant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not return to profitability unless and until we successfully commercialize any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quarterly and annual operating results may fluctuate in the future. As a result, we may fail to meet or exceed the expectations of research analysts or investors, which could cause our stock price to decline and negatively impact our financing or funding ability, as well as negatively impact our ability to exist as a standalone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require substantial additional funding in the future to meet our financial needs and to pursue our business objectives. If we are unable to obtain funding if and when needed, we could be forced to delay, reduce or eliminate our product discovery and development activities or commercialization efforts.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Discovery and Development of Our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depend heavily on the success of avexitide, our most advanced product candidate, and AMX0035. If we are unable to successfully complete late-stage trials, obtain regulatory approvals for, and successfully commercialize, avexitide and/or AMX0035, or experience significant delays in doing so, our business may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delay or denial of regulatory approval for any of our current or any future product candidates in any jurisdiction could adversely impact our business and our results of operations, and could cause us to delay or even cease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historically concentrated our research and development efforts on the treatment of neurodegenerative diseases, a field that has seen very limited success in product development, and have only recently further expanded upon our existing development efforts in the endocrine and metabolic field, an area in which we have limited experience in drug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approval processes of the FDA and other comparable foreign authorities are lengthy, time-consuming and inherently unpredictable, and if we are ultimately unable to obtain regulatory approval for our current or future product candidates, our business will be substantially harmed.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Dependence on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 parties to assist in conducting our clinical trials. If they do not perform satisfactorily, we may not be able to obtain regulatory approval or successfully commercialize avexitide, AMX0035 or any other current or future product candidates, or such approval or commercialization may be delayed, and our business could be substantially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to establish additional collaborations and if we are not able to establish and maintain them on commercially reasonable terms, we may have to alter our development and future commercialization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and may in the future enter into collaborations with third parties for the development and commercialization of avexitide, AMX0035, AMX0114, AMX0318 or any other current or future product candidates, and our prospects with respect to avexitide, AMX0035, AMX0114, AMX0318 and our other current or future product candidates will depend in significant part on the success of those collaborations.</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Commercialization of avexitide, AMX0035 or Future Product Candidates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markets for avexitide for PBH, and congenital HI, for AMX0035 for Wolfram syndrome and other neurodegenerative diseases, and for any other product candidates we are currently developing or may in the future develop or acquire may be smaller than we expect.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in the future to expand our sales, marketing, manufacturing and distribution capabilities or enter into agreements with third parties to market and sell avexitide, AMX0035 or other current or future product candidates for which we obtain marketing approval, we will be unable to generate any additional product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any current or future product candidate of ours receives regulatory approval, it may fail to maintain the degree of market acceptance by physicians, patients, third-party payors and others in the medical community necessary for continued commercial success or to remain profitable.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use of third parties to manufacture avexitide or AMX0035 in compliance with cGMP may increase the risk that we will not have sufficient cGMP-compliant quantities of avexitide or AMX0035 or necessary quantities of such materials on time or at an acceptable cost.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commercial success depends on our ability to protect our intellectual property and proprietary technology.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Business Operations and Employee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continuously evaluating and pursuing strategic transactions, and cannot guarantee that our previous or future strategic transactions, acquisitions or business combinations pursued to further our mission to improve our underlying business performance will, in fact, produce any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heavily on our executive officers, principal consultants and others, and the loss of their services would materially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only have a limited number of employees to manage and operate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operating in a period of economic uncertainty, which has been significantly impacted by geopolitical instability, ongoing military conflicts, including the ongoing conflicts between Russia and Ukraine, the U.S. and Iran, and in the Middle East, the evolving regulatory activities and policy changes under the current U.S. government, events related thereto, and changes in inflation and interest rates, any of which could have a material adverse effect on our business, financial condition and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Unfavorable macroeconomic conditions or market volatility resulting from national or global economic conditions, including those affecting the financial services industry, could adversely affect our business, financial condition or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Risks Related to Our Financial Position and Need for Capital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expect to generate significant losses for the foreseeable future.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will continue to incur significant research and development and other expenses related to clinical development and potential approvals for our current and future product candidates, including for avexitide, AMX0035 and AMX0114 in additional indications other than ALS, and for ongoing operations. Since our inception, we have devoted the majority of our financial resources and efforts to research and development, including preclinical studies and our clinical trials, preparation for commercialization and commercialization activities. We invested substantial resources into our product development efforts of AMX0035 and toward the commercialization and approval of AMX0035 as RELYVRIO/ALBRIOZA for ALS. We voluntarily discontinued the marketing authorizations for RELYVRIO/ALBRIOZA for ALS and removed the product from the U.S. and Canada based on topline results from the Phase 3 PHOENIX trial, which failed to meet its prespecified primary and secondary endpoints. Our financial condition and operating results, including our revenues, expenses and net income (loss), have in the past and are likely in the future to fluctuate significantly from quarter to quarter and year to year. For example, we generated revenues of $380.8 million in 2023 as a result of sales of RELYVRIO/ALBRIOZA, but following its withdrawal, we will no longer generate revenues from this product. Accordingly, you should not rely upon the results of any prior quarterly or annual periods as indications of future operating performance. Additionally, net losses and negative cash flows have had, and may in the future have, an adverse effect on our stockholders’ equity and working capital. As of June 30, 2026, we had an accumulated deficit of $836.1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anticipate that significant expenses will be incurred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clinical trials of avexitide, AMX0035, AMX0114, AMX0318 and any other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prepare for commercialization, including drug product and drug substance manufacturing;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identify and advance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 and continue research, preclinical and clinical development efforts for any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 operational, financial and management information systems and personnel, including personnel to support commercialization of any current or future product candidate development and to help us comply with our obligations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approvals for avexitide, AMX0035, AMX0114 or AMX0318 in indications that successfully complete clinical development;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other product candidates, products or technologies.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will not return to profitability unless and until we successfully commercialize any of our current or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once again become and to remain profitable depends on our ability to generate revenue. While we have a limited history of generating revenue from the commercialization of RELYVRIO/ALBRIOZA, we do not expect to generate additional significant revenue, if any, unless and until we, either alone or with a collaborator, are able to obtain regulatory approval for, and successfully commercialize, avexitide, AMX0035 for indications other than ALS or any other current or future product candidates or products we may develop or in-license. Successful commercialization will require achievement of many key milestones, which vary by jurisdiction and may include demonstrating safety and efficacy in clinical trials, obtaining regulatory, including marketing, approval for these product candidates, manufacturing, marketing and selling those products for which we, or any of our future collaborators, may obtain regulatory approval, satisfying any post-marketing requirements and obtaining reimbursement for our products from private insurance or government payors. Because of the uncertainties and risks associated with these activities, we are unable to accurately and precisely predict the timing and amount of revenues, if any, the extent of any further losses or if or when we might achieve profitability. We and any future collaborators may never succeed in these activities and, even if we do, or any future collaborators do, we may never generate revenues that are large enough for us to achieve profitability. Even if we do achieve profitability, we may not be able to sustain or increase profitability on a quarterly or annual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failure to resume revenue generating activities or regain profitability may continue to depress the market price of our common stock and could impair our ability to raise capital or obtain other financing, expand our business, diversify our product offerings or continue our operations. If we continue to suffer losses as we have in the past, prior to the commercialization of RELYVRIO and ALBRIOZA, investors may not receive any return on their investment and may lose their entire investment.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quarterly and annual operating results may fluctuate in the future. As a result, we may fail to meet or exceed the expectations of research analysts or investors, which could cause our stock price to decline and negatively impact our financing or funding ability, as well as negatively impact our ability to exist as a standalone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financial condition and operating results have varied in the past and will continue to fluctuate from quarter-to-quarter and year-to-year in the future due to a variety of factors, many of which are beyond our control. Factors relating to our business that may contribute to these fluctuations include the following, as well as other factors described elsewhere in this Quarterly Report: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manufacture and deliver clinical supply of avexitide or AMX0035;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regulatory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market acceptance of our product and product candidates, if approved, as a treatment option;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failures in advancement of existing or future development candidates into the clinic or product candidates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feasibility of developing, manufacturing, and commercializing our product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manage our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outcomes of research programs, clinical trials or other product development or approval processes;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develop avexitide and AMX0035 for additional indications and to commercialize avexitide and AMX0035 for such additional indications,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associated with the international aspects of our business including the conduct of clinical trials in multiple locations and potential commercialization in such locations;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accurately report our financial results in a timely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dependence on, and the need to attract and retain, key management and other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protect and enforce our IP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prevent the theft or misappropriation of our IP, know-how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advantages that our competitors and potential competitors may have in securing funding, obtaining the rights to critical IP or developing competing technologies 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additional capital that may be necessary to expand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such as power outages, strikes, acts of terrorism or natural disasters;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ultimate impact of domestic and global economic and geopolitical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Due to the various factors mentioned herein, and others, the results of any of our prior quarterly or annual periods should not be relied upon as indications of our future operating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financial results may fluctuate significantly from quarter-to-quarter and year-to-year,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 Our stock price may also decline as a result of unexpected clinical trial results in one or more of our ongoing or future clinical trials.</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require substantial additional funding in the future to meet our financial needs and to pursue our business objectives. If we are unable to obtain funding if and when needed, we could be forced to delay, reduce or eliminate our product discovery and development activities or commercialization efforts.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operations have consumed substantial amounts of cash since inception. We expect to spend substantial amounts to continue the clinical development of avexitide, the clinical development of AMX0035 in indications other than ALS, and for the preclinical and clinical development of additional product candidates, or in the in-license, acquisition or development of other product candidates or products. If we are unable to obtain additional marketing approvals for avexitide, AMX0035, or for any other current or future product candidates that we develop, in-license or acquire, we may require significant additional amounts of cash in order to continue to develop avexitide, AMX0035, AMX0114, AMX0318 and any other current or future product candidates and fund our operations. In addition, other unanticipated costs may arise in the course of our development efforts. Because the design and outcome of our ongoing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anticipated clinical trials is highly uncertain, we cannot reasonably estimate the actual amounts necessary to successfully complete the development and commercialization of any product candidate we develop.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future capital requirements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researching and developing avexitide, AMX0035 for Wolfram syndrome and potential additional indications, AMX0114, AMX0318, as well as any other product candidates we are currently developing or may in the future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and the costs involved in, our efforts to obtain marketing approvals for avexitide in PBH, AMX0035 for the treatment of Wolfram syndrome and potential additional indications, AMX0114, AMX0318, and our efforts to obtain approvals for other product candidates we are developing or may in the future develop and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other product candidates that we may pursue and their development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commercialization activities for avexitide and AMX0035, if approved, or for any other product candidate that may receive regulatory approval to the extent such costs are not the responsibility of any future collaborators, including the costs and timing of establishing sufficient product sales, marketing, distribution and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receipt of regulatory approval on a jurisdiction-by-jurisdiction basis, revenue, if any, received from commercial sales of avexitide and AMX0035 for any approved indications or any other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in-license, acquire, or acquire rights to other products,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obligations, if any, to pay royalties in connection with the development and commercialization of avexitide or any other products or product candidates we may in-license or acquire;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headcount fluctuation;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protecting our intellectual property rights, including enforcing and defending intellectual property related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ongoing costs of operating as a public company.</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cannot be certain that additional funding will be available on acceptable terms, or at all. As a result of the challenges caused by economic uncertainty in domestic and global markets due to geopolitical instability and conflict, including the ongoing conflicts in Ukraine and in the Middle East and the evolving regulatory activities and policy changes under the current U.S. government, the global credit and financial markets have experienced in recent periods significant volatility and disruptions, including diminished liquidity and credit availability, declines in consumer confidence, changes to rates of inflation and interest rates and uncertainty about economic and global stability. If the equity and credit markets continue to deteriorate, it may make any necessary debt or equity financing impossible or more difficult, more costly or more dilutive.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no committed source of additional capital and if we are unable to raise additional capital or secure other financing, if needed, in sufficient amounts or on terms acceptable to us, we may have to significantly delay, scale back or discontinue the development of avexitide, AMX0035, AMX0114, AMX0318 or any other current or future product candidates or other research and development initiatives. We may need to seek collaborators for avexitide, AMX0035, AMX0114, AMX0318 and any other current or future product candidates at an earlier stage than otherwise would be desirable or on terms that are less favorable than might otherwise be available or relinquish or license on unfavorable terms our rights to avexitide, AMX0035, AMX0114, AMX0318 and any other current or future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our existing cash, cash equivalents and marketable securities as of June 30, 2026, will be sufficient to fund our operations into 2028. However, our estimate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w:t>
      </w:r>
    </w:p>
    <w:p>
      <w:pPr>
        <w:pStyle w:val="TextBody"/>
        <w:bidi w:val="0"/>
        <w:spacing w:before="24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expect our expenses to continue to increase in both the near term and long term in connection with our planned operations. Unless and until we can generate a substantial amount of revenue on a sustained basis, if at all, we may be required to finance our future cash needs through public or private equity offerings, royalty-based or debt financings, collaborations, licensing arrangements or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sources, or any combination of the foregoing. In addition, we may seek additional capital due to favorable market conditions or strategic considerations, even if we believe that we have sufficient funds for our current or future operating plans.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 In addition, debt financing, if available, may result in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Securing financing could also require a substantial amount of time and attention from our management and may divert a disproportionate amount of their attention away from day-to-day activities, which may adversely affect our management’s ability to oversee the development of avexitide, AMX0035, AMX0114, AMX0318 or any future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we raise additional funds through collaborations or marketing, distribution or licensing arrangements with third parties, we may have to relinquish valuable rights to our technologies, future revenue streams or product candidates or grant licenses on terms that may not be favorable to us. </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tax law could adversely affect our business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rules dealing with U.S. federal, state, local and international income taxation are constantly under review by persons involved in the legislative process and by the Internal Revenue Service and the U.S. Treasury Department. For example, the OBBBA was signed into law on July 4, 2025 and made significant changes to the U.S. federal tax law. Changes to tax laws (which changes may have retroactive application) could adversely affect us or holders of our common stock. For example, under Section 174 of the Internal Revenue Code of 1986, as amended, or the IRC,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In recent years, many changes to tax laws have been made and changes are likely to continue to occur in the future. The OBBBA also makes significant changes to the Medicaid, Medicare, and Health Insurance Marketplace federal healthcare programs. Changes include new requirements states must meet to maintain federal support for the Medicaid programs, as well as stricter criteria beneficiaries must meet to qualify for and maintain enrollment in federal healthcare programs. The effect of these changes could result in reductions in our patient population and managed care enrollees that we serve across our federal healthcare program lines of business due to, among other things, more stringent eligibility requirements such as the imposition of work or community service requirements, and copayments on many services, limitation of Medicaid eligibility to certain lawfully present individuals, and the effect of immigration enforcement actions which may discourage beneficiaries from applying or reapplying for federal healthcare benefits. These risks could have a material adverse effect on our business, results of operations, financial condition or cash flows.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Medicaid provider tax reform has been targeted by the current administration to reduce federal Medicaid spending, with such potential reforms including restricting states from using provider taxes to help finance coverage of undocumented immigrants and cutting provider taxes and capping state-directed payments.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 </w:t>
      </w:r>
    </w:p>
    <w:p>
      <w:pPr>
        <w:pStyle w:val="TextBody"/>
        <w:bidi w:val="0"/>
        <w:spacing w:before="240" w:after="283"/>
        <w:jc w:val="center"/>
        <w:rPr>
          <w:rFonts w:ascii="Times New Roman" w:hAnsi="Times New Roman"/>
          <w:sz w:val="20"/>
        </w:rPr>
      </w:pPr>
      <w:r>
        <w:rPr>
          <w:rFonts w:ascii="Times New Roman" w:hAnsi="Times New Roman"/>
          <w:b/>
          <w:color w:val="000000"/>
          <w:sz w:val="20"/>
        </w:rPr>
        <w:t>Risks Related to the Discovery and Development of Our Current and Future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currently depend heavily on the success of avexitide, our most advanced product candidate, and AMX0035. If we are unable to successfully complete late-stage trials, obtain regulatory approvals for, and successfully commercialize, avexitide and/or AMX0035, or experience significant delays in doing so, our business may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success depends significantly on our ability to successfully develop, and obtain regulatory approvals for and commercialize, avexitide in PBH and AMX0035 in indications other than ALS, including Wolfram syndrome. Avexitide has been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evaluated in five Phase 1 and Phase 2 clinical trials for PBH and has also been studied in congenital HI. In February 2025, we activated the first sites for the pivotal Phase 3 LUCIDITY clinical trial for avexitide in PBH and in April 2025, we announced that the first participant had been dosed. Recruitment and enrollment of LUCIDITY are complete. All participants have been randomized and dosed as of the first quarter of 2026, and we continue to expect topline data in the third quarter of 2026, and if approved, a commercial launch in 2027. We reported positive topline results from the Phase 2 HELIOS trial, an open-label study of AMX0035 in 12 adult participants with Wolfram syndrome. At Week 24, stabilization or improvement was demonstrated across all key clinical measures, including pancreatic function, glycemic control, and vision. Long-term Week 48 data demonstrated that treatment with AMX0035 led to continued sustained stabilization or improvement. At Week 96, measures of pancreatic function and glycemic control were stable or improved relative to baseline in most participants. Visual acuity and patient- and clinician-reported outcomes showed patterns consistent with disease stabilization. Our business success depends heavily on our ability to successfully complete clinical trials for our product candidates. We have completed the IND-enabling studies of AMX0114 in ALS and fully enrolled cohort 1 (n=12) and cohort 2 (n=12) of the Phase 1 LUMINA trial in ALS in September 2025 and March 2026,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need to have sufficient funds for, and successfully complete, our clinical development of avexitide in PBH, AMX0035 for the treatment of Wolfram syndrome and other indications, AMX0114 in ALS, AMX0318 in PBH and other rare diseases, and any other product candidates we may develop or acquire.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future regulatory and commercial success of avexitide, AMX0035, AMX0114, AMX0318 or any other current or future product candidates are subject to a number of risks,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completion of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patient enrollment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positive data from our preclinical studies and clinical trials that supports an acceptable risk-benefit profile of avexitide, AMX0035 or any other current or future product candidates in the intended populations;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satisfaction of applicable regulatory requirements, including to satisfy applicable rules governing fixed dose combination products, as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interpretation of our preclinical and clinical data by regulatory authorities to support marketing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unforeseen safety issues or adverse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and maintenance of marketing approvals from applicable regulatory authorities, including with any expected NCE and new clinical investigation data exclusivity and Orphan Drug market exclusivity, as applicable;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and maintenance of designations from applicable regulatory authorities, including Breakthrough Therapy Designation for avexitide, Orphan Drug Designation for avexitide and AMX0035, and Fast Track Designation for AMX0114;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patent and trade secret protection and regulatory exclusivity for avexitide, AMX0035 or any other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making arrangements with third-party manufacturers, or establishing manufacturing capabilities, for both clinical and commercial supplies of avexitide, AMX0035, AMX0114, AMX0318 or any other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entry into collaborations to further the development of avexitide, AMX0035, AMX0114, AMX0318 or any other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sales, marketing and distribution capabilities and launching commercial sales of our products, if and when approved,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avexitide, AMX0035 or any other products, if and when approved,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appropriately identifying patients with the diseases targeted by avexitide, AMX0035, AMX0114, AMX0318 or any other current or future product candidates and accurately estimating the size of applicable patient populations or disease prevalence;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third-party coverage and adequate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products following any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other drugs or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ensuring that we promote and distribute our products consistent with all applicable healthcare laws;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and defending intellectual property rights and claims. </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Many of these risks are beyond our control, including the risks related to clinical development, the regulatory submission process, potential threats to our intellectual property rights and the manufacturing, marketing and sales efforts of any future collaborator. If we are unable to develop, obtain or maintain regulatory approvals for, or successfully commercialize avexitide, AMX0035 or any of our other current or future product candidates, or if we experience delays as a result of any of these risks or otherwise, our business could be materially harmed.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of the large number of drugs in development in the pharmaceutical industry, only a small percentage result in the submission of marketing applications to regulatory authorities, and even fewer are approved for commercialization. Furthermore, even if we do receive regulatory approval for our current or any of our future product candidates, any such approval may be subject to limitations on the indications or uses or the patient populations for which we may market the product. For example, our Phase 3 avexitide trial is in PBH following RYGB surgery, and the FDA may require that we provide additional clinical data to support an indication beyond PBH following RYGB surgery. Additionally, it is unknown whether disruptions and personnel turnover at the FDA, as a result of leadership changes, staff reductions or otherwise, may contribute to uncertainty in the regulatory approval process.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we may not realize the full commercial potential of avexitide, AMX0035 or any other current or future product candidates that receive marketing approval if we are unable to appropriately identify patients with the diseases targeted by such product candidates. Accordingly, even if we are able to obtain the requisite financing to continue to fund our development activities, we cannot assure you that we will successfully develop or commercialize our current or any future product candidates for any indication in any jurisdiction. If we or any of our future collaborators are unable to develop, maintain, or obtain regulatory approvals for, or, if approved, successfully commercialize our current or any future product candidates for our initial or potential additional indications, we may not be able to generate sufficient revenue to continue our business. In addition, our failure to demonstrate positive results in our clinical trials in any indication for which we are developing our current product candidates, or to satisfy other regulatory requirements, could adversely affect our development efforts for avexitide, AMX0035 in other indications, AMX0114, or AMX0318.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delay or denial of regulatory approval for any of our current or any future product candidates in any jurisdiction could adversely impact our business and our results of operations, and could cause us to delay or even cease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research, testing, manufacturing, labeling, approval, sale, marketing, distribution and post-market obligations of drug products are subject to extensive regulation by the FDA and other regulatory agencies in the U.S. and other countries, and such regulations differ from country to country.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FDA or any other foreign regulatory agency can delay, limit, deny or withdraw approval to market avexitide, AMX0035 or any future product candidates for many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demonstrate to the satisfaction of, the FDA or any other applicable foreign regulatory agency that avexitide, AMX0035 or any future product candidate is safe and effective for the requested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gain agreement from applicable foreign regulatory authorities that avexitide, AMX0035 or any future product candidate is appropriate for approval under applicable regulatory pathways;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FDA’s or any other applicable foreign regulatory agency’s disagreement with the interpretation of data from preclinical and clinical studies and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demonstrate that the clinical and other benefits of avexitide, AMX0035 or any future product candidate outweigh any safety or other perceived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FDA’s or any other applicable foreign regulatory agency’s requirement for additional preclinical or clinical studies or trials, including studies to satisfy applicable rules governing fixed dose combination products or post-market requirements, as applicable;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FDA’s or any other applicable foreign regulatory agency’s having differing requirements for the trial protocols used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FDA’s or any other applicable foreign regulatory agency’s non-approval of the formulation, labeling and/or the specifications of avexitide, AMX0035 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FDA’s or any other applicable foreign regulatory agency’s failure to accept the manufacturing processes or third-party manufacturers with which we contract; 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for approval policies or regulations the FDA or any other applicable foreign regulatory agencies to significantly change in a manner rendering our clinical data insufficient for approval.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FDA or the applicable foreign regulatory agency may also approve avexitide, AMX0035 or any future product candidates for a more limited indication and/or a narrower patient population than we originally request, and the FDA or any other applicable foreign regulatory agency may not approve the labeling that we believe is necessary or desirable for the successful commercialization of avexitide, AMX0035 or any future product candidates. Any delay in obtaining, or inability to obtain, applicable regulatory approval would delay or prevent commercialization of avexitide, AMX0035 or any future product candidates and would materially adversely impact our business and prospects.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AMX0035 is a fixed-dose combination drug product and certain regulatory authorities may require a demonstration that each component makes a contribution to the claimed effects in addition to demonstrating that the combination is safe and effective for the intended population.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Under the FDA’s combination rule, the FDA generally will not file or approve an NDA for a fixed-dose combination product unless each component of a proposed drug product is shown to make a contribution to the claimed effects and the dosage of each component (amount, frequency, duration) is safe and effective for the intended population. For additional information on FDA’s combination rule, see the section entitled “</w:t>
      </w:r>
      <w:r>
        <w:rPr>
          <w:rFonts w:ascii="Times New Roman" w:hAnsi="Times New Roman"/>
          <w:i/>
          <w:color w:val="000000"/>
          <w:sz w:val="20"/>
        </w:rPr>
        <w:t>Business—Government Regulation—Combination Rule for Fixed-Dose Combination Products</w:t>
      </w:r>
      <w:r>
        <w:rPr>
          <w:rFonts w:ascii="Times New Roman" w:hAnsi="Times New Roman"/>
          <w:color w:val="000000"/>
          <w:sz w:val="20"/>
        </w:rPr>
        <w:t>” in our 2025 Annual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Similar requirements may be imposed on us by the European Medicines Agency, or EMA, in the EU and comparable regulatory authorities in other jurisdictions where we intend to seek regulatory approval. For any fixed-dose combination products we may develop, we may be required to produce clinical data supporting the contribution of each component when present at the levels included in the fixed-dose combination in order to obtain marketing authorization in the U.S. or EU.</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the FDA or other comparable foreign regulatory authorities require us to conduct one or more clinical trials to support such a demonstration, such as a factorial study, the design, duration and scope of such clinical trials will be decided upon after further discussions with those agencies and other comparable foreign regulatory authorities. As a result, we are unable to predict with certainty the estimated timing or scope of any future clinical trials of AMX0035 we may be required to conduct to satisfy these requirements governing fixed dose combination products in various jurisdictions. Ongoing third-party data in neurology, specifically within ALS, on our products or other products may influence regulatory decision making, including for fixed-dose combinations.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have historically concentrated our research and development efforts on the treatment of neurodegenerative diseases, a field that has seen very limited success in product development, and have only recently further expanded upon our existing development efforts in the endocrine and metabolic field, an area in which we have limited experience in drug development.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focused our research and development efforts on addressing neurodegenerative diseases and have only in the past two years further expanded upon our existing development efforts in the endocrine and metabolic field with the acquisition of avexitide. This shift in focus resulted in additional costs arising from operating expenses and hiring personnel, challenges with building our expertise in the endocrine and metabolic field, or diversion of management’s attention away from AMX0035. Historically, efforts by pharmaceutical companies in the field of neurodegenerative diseases have experienced limited successes in product development. The development of neurodegenerative therapies presents unique challenges, including an imperfect understanding of the relevant biology, the presence of the blood brain barrier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approved therapeutic options available for patients with ALS and other neurodegenerative disorders. Our future success is highly dependent on the successful development and commercialization of avexitide, AMX0035 and any other current or future product candidates for treating neurodegenerative diseases or for treating endocrine conditions. Developing and commercializing avexitide, AMX0035 and any other current or future product candidates for treatment of neurodegenerative diseases or for treating PBH and congenital HI subjects us to a number of challenges, including ensuring that we have developed or acquired the requisite expertise in these areas, selected the optimal doses, execute appropriate clinical trials to test for efficacy and obtain regulatory approval from the FDA and other comparable foreign regulatory authorities.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regulatory approval processes of the FDA and other comparable foreign authorities are lengthy, time-consuming and inherently unpredictable, and if we are ultimately unable to obtain regulatory approval for our current or future product candidates, our business will be substantially harmed.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and any future collaborators, are not permitted to commercialize, market, promote or sell any product candidate in the U.S. or elsewhere without obtaining regulatory approval from the FDA and other comparable foreign regulatory authorities. Regulatory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authorities in other jurisdictions may have similar requirements. The time required to obtain approval by the FDA and other comparable foreign regulatory authorities is unpredictable, and typically takes many years following the commencement of clinical trials and depends upon numerous factors, including substantial discretion of such regulatory authorities. In addition, approval policies, regulations, or the type and amount of clinical data necessary to gain approval may change during the course of a product candidate’s clinical development and may vary among jurisdictions. For example, the U.S. Supreme Court’s July 2024 decision to overturn prior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In addition, the FDA in any approval needs to determine that there is substantial evidence of effectiveness. This finding can be substantiated based on two adequate and well-controlled studies, or in certain circumstances on a single, large, multicenter, adequate and well-controlled study that is very persuasive or from a single adequate and well-controlled study together with confirmatory evidence. FDA regulations and guidance also allow for greater flexibility and tolerance for uncertainty in the context of rare and fatal diseases. The FDA Commissioner publicly indicated that a single adequate and well-controlled pivotal clinical trial supported by confirmatory evidence would be the FDA’s default standard moving forward for novel products, rather than two such trials; this statement was not a formal agency action, and the scope, implementation and durability of this policy position remain uncertain. In June 2026, the FDA issued revised draft guidance clarifying how sponsors can rely on one scientifically rigorous adequate and well-controlled clinical investigation with confirmatory evidence to satisfy the statutory substantial evidence of effectiveness standard. Further, in July 2026, in response to congressional inquiries, FDA indicated that informal statements, issued through journals or means other than formal notice and comment rule-making, are not reflective of official FDA policy and should not be interpreted as regulatory guidance. FDA retains broad discretion to require additional clinical data for any product candidate, including a second adequate and well-controlled clinical trial.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Clinical testing is expensive, difficult to design and implement, can take many years to complete and is inherently uncertain as to outcome. We cannot guarantee that any clinical trials will be conducted as planned or completed on schedule, if at all. The clinical development of avexitide, AMX0035 for our indications other than ALS or any current or future product candidates is susceptible to the risk of failure inherent at any stage of development, including failure to demonstrate efficacy in a clinical trial or across a broad population of patients, the occurrence of AEs that are severe or medically or commercially unacceptable, failure to comply with protocols or applicable regulatory requirements, and determination by the FDA or any other comparable foreign regulatory authority that a product candidate may not continue development or is not approvable. For example, our Phase 3 clinical trial of AMX0035 for the treatment of ALS failed to meet its primary and secondary endpoints. Additionally, our expenses could increase if we are required by the FDA or any other comparable foreign regulatory authority to perform clinical trials in addition to those currently expected, or if there are any delays in completing our clinical trials or the development of avexitide, AMX0035 in additional indications and any current or future product candidates. It is possible that even if avexitide, AMX0035 or any other current or future product candidate has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avexitide, AMX0035 or any other current or future product candidate that is greater than the actual positive effect, if any. Similarly, in our clinical trials we may fail to detect toxicity of or intolerability caused by avexitide, AMX0035 or any other current or future product candidate, or mistakenly believe that avexitide, AMX0035 or any other current or future product candidates are toxic or not well-tolerated when that is not in fact the case.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Avexitide, AMX0035, AMX0114, AMX0318 and any current or future product candidates could fail to obtain regulatory approvals, and any of our future product candidates could fail to obtain regulatory approvals,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comparable foreign regulatory authorities may disagree as to the design or implementation of our clinical trials and may require additional data to support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to the satisfaction of the FDA or other comparable foreign regulatory authorities that a product candidate is safe and effective for its proposed indication(s) and, if necessary, that a product candidate and any active components thereof are safe and effective for the proposed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clinical trials may not meet the level of statistical significance required by the FDA or other comparable foreign regulatory authorities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that a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and comparable authorities in other countries may disagree with our interpretation of data from clinical trials or preclinical studies and our request may require additional trials or studies to support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collected from clinical trials of avexitide, AMX0035, AMX0114, AMX0318 or any other current or future product candidates may not be sufficient to support the submission of an NDA or other submission to the FDA or other comparable foreign regulatory authority to obtain regulatory approval in the U.S. or elsewhere;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comparable foreign regulatory authorities may find deficiencies with clinical trial sites or fail to approve the manufacturing processes or facilities of third-party manufacturers with which we contract for clinical and commercial supplies;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policies or regulations of the FDA or other comparable foreign regulatory authorities may significantly change in a manner rendering our clinical data insufficient for approval.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lengthy approval process as well as the unpredictability of clinical trial results may result in our failing to obtain regulatory approval to market avexitide, AMX0035 or any future product candidate we develop, which would significantly harm our business, results of operations and prospects. There is no assurance that the endpoints and trial designs used for the approval of currently approved drugs for the treatment of neurodegenerative diseases will be acceptable for future approvals, including for avexitide, AMX0035, AMX0114, AMX0318 and any current or future product candidates. Similarly, there is no assurance that the endpoints and trial designs for avexitide will be acceptable for its future approval. The FDA and other comparable foreign authorities have substantial discretion in the approval process and determining when or whether regulatory approval will be obtained for any product candidate that we develop. Even if we believe the data collected from past or future clinical trials of avexitide, AMX0035, AMX0114, AMX0318 or any other current or future product candidates are promising, such data may not be sufficient to support approval by the FDA or any other regulatory authority.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FDA reviews an NDA to determine whether the product is safe and effective for its intended use(s), with the latter determination being made on the basis of substantial evidence. This finding can be substantiated based on two adequate and well-controlled studies, or in certain circumstances on a single, large, multicenter, adequate and well-controlled study that is very persuasive or from a single adequate and well-controlled study together with confirmatory evidence. The FDA may not agree that this standard is met. Accordingly, there can be no assurance that for avexitide, AMX0035 or any other current or future product candidates the FDA and other regulatory agencies will not require additional clinical trials beyond what we may plan to conduct.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disruptions caused by any future public health crisis may increase the likelihood that we encounter difficulties or delays in initiating, screening, enrolling, conducting, or completing our ongoing and planned preclinical studies and clinical trials. Clinical site initiation and patient screening and enrollment may be delayed due to prioritization of hospital resources in the event of a future public health crisis. Investigators and patients may not be able to comply with clinical trial protocols if quarantines impede patient movement or interrupt healthcare services. Similarly, our ability to recruit and retain patients and principal investigators and site staff who, as healthcare providers, may have heightened exposure to such future highly infectious or contagious diseases, could be limited, which in turn could adversely impact our clinical trial operations. Additionally, we may experience interruption of key clinical trial activities, such as clinical trial site monitoring, due to limitations on travel, quarantines or social distancing protocols imposed or recommended by federal or state governments, employers and others in connection with any future outbreak of any highly infectious or contagious diseases. As a result of a future public health crisis, we may face delays in meeting our anticipated timelines for our ongoing and planned clinical trials.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regulatory authorities may subject our clinical or manufacturing operations to inspections, including routine surveillance, bioresearch monitoring and pre-approval inspections. In addition, even if we were to obtain approval, regulatory authorities may approve avexitide, AMX0035 or any other current or future product candidates for fewer or more limited indications than we request, may not approve the price we intend to charge for our products, may grant approval contingent on the performance of costly post-marketing preclinical studies and clinical trials, or may approve a product candidate with a label that does not include the labeling claims necessary or desirable for the successful commercialization of that product candidate. Any of the foregoing scenarios could materially harm the commercial prospects for avexitide, AMX0035 or any other current or future product candidates. Some of these efforts have manifested to date in the form of personnel measures that could impact the FDA’s ability to hire and retain key personnel, which could result in delays in or limitations on our ability to obtain guidance from the FDA on our product candidates in development and obtain the requisite regulatory approvals in the future.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remains general uncertainty regarding future activities involving the Trump administration. The Trump administration could issue or promulgate executive orders, regulations, policies or guidance that adversely affect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as a result of the Trump administration, there could be a material adverse effect on us and our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incur unexpected costs or experience delays in completing, or ultimately be unable to complete, the development of avexitide, AMX0035, AMX0114, AMX0318 or any other current or future product candidates.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obtain regulatory approval to commercialize avexitide, AMX0035, AMX0114, AMX0318 and any other current or future product candidates, we must demonstrate through extensive preclinical studies and clinical trials that such product candidates are safe and effective in humans. Preclinical and clinical testing are expensive and can take many years to complete, and their outcome is inherently uncertain. The leadership changes at the FDA may compound this uncertainty. Failure can occur at any time during the clinical trial process and our future clinical trial results may not be successful, which could impact our ability to obtain regulatory approvals for avexitide, AMX0035, AMX0114, AMX0318 or any other current or future product candidates.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may experience delays in completing our clinical trials or preclinical studies and initiating or completing additional clinical trials. We may also experience numerous unforeseen events during our clinical trials that could delay or prevent our ability to receive marketing approval or commercialize avexitide, AMX0035, AMX0114, AMX0318 or any other current or future product candidates we develop,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or institutional review boards, or IRBs, or other reviewing bodies may not authorize us or our investigators to commence a clinical trial, or to conduct or continue a clinical trial at a prospective or specific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reach agreement on acceptable terms with prospective contract research organizations, or CROs, and clinical trial sites, the terms of which can be subject to extensive negotiation and may vary significantly among different CROs and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subjects or patients required for clinical trials of avexitide, AMX0035, AMX0114 and AMX0318 in an indication or any future product candidate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third-party contractors, including those manufacturing avexitide, AMX0035, AMX0114, AMX0318 or any other current or future product candidates or conducting clinical trials on our behalf, may fail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have to amend clinical trial protocol submitted to regulatory authorities or conduct additional studies to reflect changes in regulatory requirements or guidance, which we may be required to resubmit to an IRB and regulatory authorities for re-examination;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safety events may occur during the course of a clinical trial and these events may result in the temporary suspension or termination of a clinical trial, or require urgent safety measures or restrictions to protect human subjects during the conduct of a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IRBs or other reviewing bodies may fail to approve or subsequently find fault with the manufacturing processes or facilities of third-party manufacturers with which we enter into agreement for clinical and commercial supplies, or the supply or quality of avexitide, AMX0035, AMX0114, AMX0318 or any other current or future product candidate or other materials necessary to conduct clinical trials of avexitide, AMX0035, AMX0114, AMX0318 or any other current or future product candidates may be insufficient, inadequate or not available at an acceptable cost, or we may experience interruptions in supply;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for approval policies or regulations of the FDA or any other applicable foreign regulatory agencies to significantly change in a manner rendering our clinical data insufficient for approval.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Regulators, IRBs of the institutions in which clinical trials are being conducted or data monitoring committees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For example, we submitted an IND application to the FDA for AMX0114. In connection with the IND application, the FDA restricted AMX0114 dosing to an amount that is lower than our proposed starting dose of 12.5 mg and requested additional information, which resulted in a clinical hold. Toxicology studies showed a greater than 10x safety margin at the starting dose of 12.5 mg based on the no observed adverse effect level determined by independent toxicology firms. In January 2025, we announced that the clinical hold had been lifted. However, there can be no assurance that the FDA or other regulatory authorities will not impose future clinical holds relating to any of our current or future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July 2024, we completed the acquisition of substantially all of the rights, title and interests in, to and under those assets and interests used by Eiger BioPharmaceuticals, Inc., or Eiger, in the development, manufacture and commercialization of avexitide. Negative or inconclusive impressions of the results from earlier clinical trials of avexitide performed by Eiger or any other clinical trial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preclinical studies in animals that we or Eiger have conducted with respect to avexitide, or the results from our earlier clinical trials of AMX0035 for the treatment of ALS or AD, could mandate repeated or additional preclinical studies or clinical trials and could delay marketing approvals or result in changes to or delays in preclinical studies or clinical trials of AMX0035 in other indications. We do not know whether any clinical trials that we may conduct will demonstrate adequate efficacy and safety to result in regulatory approval to market avexitide, AMX0035 for our intended indications or any future product candidate.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failure to successfully initiate and complete clinical trials of avexitide, AMX0035 for Wolfram syndrome or potential additional indications and to demonstrate the efficacy and safety of avexitide and AMX0035, including each component thereof, necessary to obtain regulatory approval to market avexitide and AMX0035, would significantly harm our business and ability to continue developing and marketing avexitide and AMX0035 for any indications. Our product candidate development costs will also increase if we experience delays in testing or obtaining and maintaining regulatory approvals and we may be required to obtain additional funds to complete clinical trials. We cannot assure you that our clinical trials will begin as planned or be completed on schedule, if at all, or that we will not need to restructure our trials after they have begun. Significant clinical trial delays or the need for additional data from our clinical trials also could shorten any periods during which we may have the exclusive right to commercialize avexitide, AMX0035 or any other current or future product candidates or allow our competitors to bring products to market before we do and impair our ability to successfully commercialize such product candidates, which may harm our business and results of operations. In addition, many of the factors that cause, or lead to, delays of clinical trials may ultimately lead to the denial of regulatory approval of avexitide, AMX0035 or any future product candidate.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Even if we complete the necessary preclinical studies and clinical trials, the marketing approval process is expensive, time-consuming and uncertain and may prevent us or any future collaboration partners from obtaining or maintaining approvals for the commercialization of our current or any future product candidate we develop.</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product candidate we may develop and the activities associated with its development and commercialization, including its design, testing, manufacture, safety, efficacy, recordkeeping, labeling, storage, approval, advertising, promotion, sale and distribution, are subject to comprehensive regulation by the FDA and other regulatory authorities in the U.S. and in other countries. Failure to obtain marketing approval for a product candidate will prevent us from commercializing that product candidate in a given jurisdiction. Although we have invested substantial time and resources to date in pursuit of regulatory approval and toward potential commercialization, we have only received regulatory approval for AMX0035 (RELYVRIO) in the U.S. and marketing authorization with conditions for AMX0035 (ALBRIOZA) in Canada, which products we have since ceased marketing and selling from the market. We have not received any other regulatory approvals to market any current product candidates from regulatory authorities in any jurisdiction, and it is possible that none of the product candidates we may seek to develop in the future will ever obtain regulatory approval. Securing regulatory approval requires the submission of extensive preclinical and clinical data and supporting information to the various regulatory authorities for each therapeutic indication to establish the product candidate’s safety, purity, efficacy and potency.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process of obtaining marketing approvals, in the U.S. and other foreign jurisdictions,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during the review process that our data are insufficient for approval and require additional preclinical, clinical or other studies. In addition, varying interpretations of the data obtained from preclinical and clinical testing could delay, limit, or prevent marketing approval of, or limit the approved labeling for, a product candidate. Additionally, the FDA has discretion to refer an application for a novel drug or a drug that presents difficult questions of safety or efficacy to an advisory committee. For example, our approval of RELYVRIO in the U.S. underwent two Advisory Committee reviews, which delayed ultimate approval.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we experience delays in obtaining approval or if we fail to maintain or obtain approval of avexitide, AMX0035 or of any product candidates we may develop, the commercial prospects for those product candidates, including for avexitide or AMX0035, may be harmed, and our ability to generate revenues will be materially impaired.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results of early-stage clinical trials and preclinical studies may not be predictive of future results. Initial or preliminary data in our clinical trials may not be indicative of results obtained when these trials are completed or in later stage trials.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results of preclinical studies may not be predictive of the results of clinical trials, and the results of any early-stage clinical trials we commence may not be predictive of the results of the later-stage clinical trials. In addition, initial data in clinical trials may not be indicative of results obtained when such trials are completed. There can be no assurance that any of our clinical trials will ultimately be successful or support further clinical development of avexitide, AMX0035, AMX0114, AMX0318 or any other current or future product candidates. For example, the clinical results seen in the CENTAUR trial were different than the results seen in our global Phase 3 PHOENIX clinical trial. There is a high failure rate for drugs and biologics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have a material adverse effect on our business and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we have in the past utilized and may in the future utilize an “open-label” clinical trial design. An “open-label” clinical trial is one where both the patient and investigator know whether the patient is receiving the investigational product candidate or either an existing approved drug or placebo.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avexitide, AMX0035 or any future product candidates when studied in a controlled environment with a placebo or active control.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Enrollment and retention of patients in clinical trials is an expensive and time-consuming process and could be made more difficult or rendered impossible by multiple factors outside our control.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avexitide, AMX0035, AMX0114, AMX0318 or any other current or future product candidates if we are unable to locate and enroll a sufficient number of eligible patients to participate in these trials to such trial’s conclusion as required by the FDA or other comparable foreign regulatory authorities. Additionally, certain clinical trials for avexitide, AMX0035, AMX0114 and any other current or future product candidates may be focused on indications with relatively small patient populations, which may further limit enrollment of eligible patients or may result in slower enrollment than we anticipate. The eligibility criteria of our clinical trials, once established, may further limit the pool of available trial participants. For example, the number of patients suffering from Wolfram syndrome and/or PBH is small and, in some cases, has not been established with precision. If the actual number of patients with these diseases is smaller than we anticipate, we may encounter difficulties in enrolling patients in our clinical trials, thereby delaying or preventing development and approval of avexitide, AMX0035, AMX0114, AMX0318 or any other current or future product candidates. Even once enrolled, we may be unable to retain a sufficient number of patients to complete any of our trials. Neurodegenerative diseases have particular challenges, including significant mobility issues, morbidities and other complications that have historically made retention in clinical trials more challenging. In the past, we have had discontinuations in our clinical trials, including in our CENTAUR trial and our PHOENIX trial, and their open-label extensions. Discontinuations may occur in current or future trials and could result in delays of completion of our clinical trials and affect our ability to enroll additional patients in our clinical trials and impact the integrity of data from our clinical trials.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Patient enrollment and retention in clinical trials depends on many factors, including the size of the patient population, the severity of the disease under investigation, the nature of the trial protocol, the existing body of safety and efficacy data for the product candidate, the number and nature of competing treatments and ongoing clinical trials of or expanded access to competing therapies for the same indication, the proximity of patients to clinical sites, the eligibility criteria for the trial, the ability to adequately monitor patients during a trial, clinicians’ and patients’ perceptions as to the potential advantages of the product candidate being studied, and the risk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that patients will drop out of a trial before completing all site visits. There are limited patient pools from which to draw in order to complete our clinical trials in a timely and cost-effective manner, including due to the fact that the diseases we target are rare. Moreover, for example, the patient population for PBH may decrease due to the development of novel treatments for obesity, reducing the potential need for bariatric surgery. Furthermore, our efforts to build relationships with patient communities may not succeed, which could result in delays in patient enrollment in our clinical trials.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negative results we may report in clinical trials of avexitide, AMX0035, AMX0114, AMX0318 or any future product candidate may also make it difficult or impossible to recruit and retain patients in other clinical trials of that same product candidate. For example, the PHOENIX trial did not meet its primary or secondary endpoints, which may discourage patients from participating in clinical trials of AMX0035 in other indications. Delays or failures in planned patient enrollment or retention may result in increased costs, program delays or both, which could have a harmful effect on our ability to develop AMX0035 in Wolfram syndrome and additional indications, avexitide and any other current or future product candidates, or could render further development impossible. Further, if patients drop out of our clinical trials, miss scheduled doses or follow-up visits, or otherwise fail to follow clinical trial protocols, whether as a result of public health epidemics and related illness, the integrity of data from our clinical trials may be compromised or not accepted by the FDA or other regulatory authorities, which would represent a significant setback for the applicable program. In addition, we may rely on CROs and clinical trial sites to ensure proper and timely conduct of our future clinical trials and, while we intend to enter into agreements governing their services, we will be limited in our ability to compel their actual performance.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in methods of product candidate manufacturing or formulation may result in additional costs or delay.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product candidates proceed through preclinical studies to late-stage clinical trials towards potential approval and commercialization, it is common for various aspects of the development activities, such as manufacturing methods and formulation, to be altered along the way in an effort to optimize processes and results. Any such changes could cause avexitide, AMX0035 or any other current or future product candidates to perform differently and affect the results of ongoing clinical trials or other future clinical trials conducted with the materials manufactured using altered processes. For example, in seeking approval of AMX0035 in Europe, we submitted data supporting a different formulation of AMX0035 from the formulation evaluated in the CENTAUR trial. Changes to commercial formulations from those studied clinically could lead regulatory authorities to delay the approval of our marketing applications until we can demonstrate through additional clinical data that there is comparability in the bioavailability of the two different formulations or may require us to revert to the prior formulation evaluated clinically. Should we have to conduct comparability testing to bridge earlier clinical data obtained from product candidates produced under earlier manufacturing methods or formulations with the planned commercial formulation, regulatory authorities may disagree on the interpretation of results from this testing. This could delay completion of clinical trials, require the repetition of one or more clinical trials, increase clinical trial costs, delay approval of avexitide, AMX0035 or any other current or future product candidates and jeopardize our ability to commence sales and generate revenue.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product candidates require specific shipping, storage, handling and administration, which, in some cases, may require cold-chain logistics and subject our product candidates to risk of loss or damage if failures occur.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product candidates are sensitive to temperature, storage and handling conditions. They must be stored at very low temperatures in specialized freezers or specialized shipping containers until immediately prior to use. The handling and administration of the product, if approved, may need to be performed according to specific instructions and in some steps within specific time periods. Failure to correctly handle our product could negatively impact the efficacy and or safety of our product, or cause a loss of product. In addition, if approved, our products may need to be frozen using specialized equipment and maintained following specific procedures in order to be stored without damage in a cost-efficient manner and without degradation. We will need to scale-up a cost-effective and reliable cold-chain distribution and logistics network, which we may be unable to accomplish. Failure to effectively scale-up our cold-chain supply logistics, by us or third parties, could in the future lead to additional manufacturing costs and delays in our ability to supply required quantities for commercial supply. For these and other reasons, we may not be able to manufacture our current or future product candidates at commercial scale or in a cost-effective manner. Even if we are able to manufacture and distribute the product candidates, if our products require specific procedures to maintain and use them, we may be limited in commercial opportunity.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Avexitide, AMX0035, AMX0114, AMX0318 or any future product candidate may cause undesirable side effects or have other properties that could delay or prevent its regulatory approval, limit the commercial profile of an approved label, or result in significant negative consequences following regulatory approval, if obtained.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Undesirable side effects caused by avexitide, AMX0035, AMX0114, AMX0318 or any future product candidate, could cause us or regulatory authorities to interrupt, delay or halt clinical trials and could result in a more restrictive label or the delay, denial or withdrawal of regulatory approval by the FDA or comparable foreign regulatory authorities. Results of our preclinical studies or clinical trials could reveal a high and unacceptable severity and prevalence of side effects or unexpected characteristics. In 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trials to date of avexitide, avexitide was generally well-tolerated. The most common AEs were injection site bruising, headache, and nausea; these occurred more often with placebo than either avexitide dose. However, there can be no guarantee that we would observe a similar tolerability profile of avexitide in future clinical trials or for other indications.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clinical trials of AMX0035 to date, AMX0035 has been generally well-tolerated, with most common treatment-emergent AEs including diarrhea, abdominal pain, nausea, upper respiratory infection, constipation, headache, fatigue, proteinuria, and decreased appetite. In addition, it has been reported that patients experience a bad taste when taking AMX0035. In animal studies, administration of AMX0035 to rats throughout pregnancy and lactation resulted in increased offspring mortality at all doses tested, which were less than or similar to the clinical doses tested in our clinical trials. However, there can be no guarantee that we would observe a similar tolerability profile of AMX0035 in future clinical trials or for other indications.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Many compounds that initially showed promise in clinical or earlier stage testing are later found to cause undesirable or unexpected side effects that prevented further development of the compound. If unacceptable or severe side effects arise in the development of avexitide, AMX0035, AMX0114, AMX0318 or any other current or future product candidates, we, the FDA or comparable foreign regulatory authorities, the IRBs, or independent ethics committees at the institutions in which our trials are conducted, or the independent safety monitoring committee could suspend or terminate our clinical trials or regulatory authorities could order us to cease clinical trials or deny approval of avexitide, AMX0035, AMX0114, AMX0318 or any other current or future product candidates for any or all targeted indications. Treatment-emergent side effects that are deemed to be drug-related could also affect subject recruitment or the ability of enrolled subjects to complete the trial or result in potential product liability claims. Undesirable side effects in one of our clinical trials for AMX0035 in one indication or avexitide could adversely affect enrollment in clinical trials, regulatory approval and commercialization of AMX0035 in other indications or avexitide. Additionally, there may be negative findings regarding components of avexitide, AMX0035, AMX0114, AMX0318 or future product candidates by other parties. Any negative findings by third parties may impact the future approvability or labeling of avexitide, AMX0035, AMX0114, AMX0318 or other product candidates we may develop. In addition, side effects may not be appropriately recognized or managed by the treating medical staff. Inadequate training in recognizing or managing the potential side effects of avexitide, AMX0035, AMX0114, AMX0318 or any future product candidates could result in patient injury or death. Any of these occurrences may harm our business, financial condition and prospects significantly.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Bitter taste was frequently observed in our clinical trials of AMX0035. While bitter taste, by itself, does not present a safety risk for patients, it may lead to higher levels of patient non-compliance, which could have the effect of reducing the observed efficacy of AMX0035 in our clinical trials, or limit its commercial adoption. AMX0035 is a combination of TURSO and PB. PB has been approved by the FDA and other regulatory authorities for the treatment of patients with certain urea cycle disorders and TURSO has been approved in Italy for diseases of cirrhotic liver disorders such as primary biliary cirrhosis. It is possible that one or more of the active moieties in AMX0035 has also been approved by the FDA or other regulatory authorities. Even if AMX0035 receives marketing approval and is commercialized in a jurisdiction, we would continue to be subject to the risks that the applicable regulatory authorities could revoke approval of PB or TURSO or any active moiety in AMX0035, if applicable, or that efficacy, manufacturing or supply issues could arise with PB or TURSO or any active moiety in AMX0035, if applicable. This could result in our own products being removed from the market or being less commercially successful.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Finally, clinical trials of avexitide, AMX0035 and AMX0114 are conducted in carefully defined sets of patients who have agreed to enter into clinical trials. Consequently, it is possible that our clinical trials, or those of any future collaborator, may indicate an apparent positive effect of avexitide, AMX0035, AMX0114, AMX0318 or any other current or future product candidate that is greater than the actual positive effect, if any, or alternatively fail to identify undesirable side effects.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Demand for expanded access to AMX0035 could negatively affect our reputation and harm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developing AMX0035 for the treatment of Wolfram syndrome and other potential future indications for which there are currently limited or no available therapeutic options.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AMX0035 or any of our future product candidates under an expanded access policy, our reputation may be negatively affected and our business may be harmed.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past, media attention to individual patients’ expanded access requests has resulted in the introduction and enactment of legislation at the local and national level, including “Right to Try” laws, such as the federal Right to Try Act of 2017, which are intended to allow patients access to unapproved therapies earlier than traditional EAPs. A possible consequence of both activism and legislation in this area may be the need for us to initiate an EAP beyond that which we have submitted to the FDA or to make AMX0035 or any future product candidates more widely available sooner than anticipated.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some patients who receive access to drugs prior to their commercial approval through compassionate use, EAPs or right to try access have life-threatening illnesses and have exhausted all other available therapies. The risk for suspected AEs in this patient population is high, which could have a negative impact on the safety profile of AMX0035 or future product candidates, which could cause significant delays or an inability to successfully commercialize AMX0035 or future product candidates, which could materially harm our business. We may in the future need to restructure or pause any future compassionate use and/or EAP we initiate in order to perform the controlled clinical trials required for regulatory approval and successful commercialization of AMX0035 or future product candidates, which could prompt adverse publicity or other disruptions related to current or potential participants in such programs.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develop and commercialize avexitide or AMX0035 for additional indications or fail to discover, develop or acquire and commercialize other product candidates, we may be unable to grow our business and our ability to achieve our strategic objectives would be impaired.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currently, and plan to continue, developing and evaluating avexitide and evaluating AMX0035 in other indications other than ALS, and planning to continue to develop other product candidates. We intend to evaluate internal opportunities from avexitide, AMX0035 or other potential product candidates, and also may choose to in-license or acquire other product candidates as well as commercial products to treat patients suffering from neurodegenerative diseases and CNS or other disorders with significant unmet medical needs and limited treatment options. For example, in July 2024, we completed the acquisition of substantially all of the rights, title and interests in, to and under those assets and interests used by Eiger in the development, manufacture and commercialization of avexitide.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Avexitide and any other potential product candidates have and will require additional, time-consuming development efforts prior to commercial sale, including preclinical studies, clinical trials and approval by the FDA and/or other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successfully commercialized or widely accepted in the marketplace or be more effective than other commercially available alternatives.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activities to identify product candidates require substantial technical, financial and human resources, whether or not any product candidates are ultimately identified. Our research activities or observation of third-party research activities may initially show promise in identifying potential product candidates, yet fail to yield product candidates for clinical development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research methodology used may not be successful in identifying potential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develop alternatives that render our potential product candidates obsolete;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that we develop may nevertheless be covered by third parties’ patents or other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on further study, be shown to have harmful side effects or other characteristics that indicate it is unlikely to be effective or otherwise does not meet applicable regulatory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capable of being produced in commercial quantities at an acceptable cost, or at all;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accepted as safe and effective by patients, the medical community or third-party payors.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we are unsuccessful in identifying and developing additional product candidates, our potential for growth and achieving our strategic objectives may be impaired.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not be successful in our efforts to expand our pipeline by identifying additional product candidates or indications and modifications for which to investigate avexitide, AMX0035, AMX0114, or AMX0318 in the future. We may expend our limited resources to pursue particular product candidates or indications or formulations for avexitide, AMX0035, AMX0114, AMX0318 and fail to capitalize on such product candidates or indications or formulations of avexitide, AMX0035, AMX0114, or AMX0318 that may be more profitable or for which there is a greater likelihood of success.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we have limited financial and managerial resources, we are focused on specific indications and modifications for avexitide, AMX0035, AMX0114, and AMX0318. As a result, we may fail to generate additional clinical development opportunities for such candidates for a number of reasons, including, that such candidates may in certain indications, on further study, be shown to have harmful side effects, limited to no efficacy, or other characteristics that suggest it is unlikely to receive marketing approval and achieve market acceptance in such additional indications. For example, in August 2025, we announced the decision to discontinue the ORION program of AMX0035 in adults living with PSP, based on data from the Phase 2b trial, where AMX0035 did not show differences compared to placebo on primary or secondary outcomes at Week 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conducting a clinical trial of avexitide in PBH and may conduct others in other indications as well. As a result, we may forgo or delay pursuit of opportunities with other indications that we believe could have had greater commercial potential or likelihood of success. In addition, we are continuing to evaluate plans to explore the use of other product candidates in ALS and additional neurodegenerative diseases. However, we may focus on or pursue one or more of our target indications over other potential indications and product candidates. Such development efforts may not be successful, which would cause us to delay the clinical development and approval of avexitide, AMX0035, AMX0114, AMX0318 and other product candidates. Furthermore, research activities to identify additional indications for avexitide, AMX0035, AMX0114, AMX0318 and other product candidates require substantial technical, financial, and human resources. We may not successfully develop these additional modifications for chemistry-related, stability-related, or other reasons. Our resource allocation decisions may cause us to fail to capitalize on viable commercial products or profitable market opportunities. Our spending on current and future research and development activities for specific indications or formulations of avexitide, AMX0035, AMX0114 or for AMX0318 or other product candidates may not yield any commercially viable products.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we may pursue in-licenses or acquisitions of development-stage assets or programs, which entails additional risk to us. For example, in July 2024, we completed the acquisition of substantially all of the rights, title and interests in, to and under those assets and interests used by Eiger in the development, manufacture and commercialization of avexitide, and in December 2024, we entered into a collaboration and license agreement with Gubra, which provides us an exclusive license to develop, manufacture, commercialize and otherwise exploit any development candidate and product(s) arising in the performance of activities under the agreement. Identifying, selecting and acquiring promising product candidates requires substantial technical, financial, and human resources expertise and, once acquired, requires us to devote substantial resources. Efforts to do so may not result in the actual acquisition or license of a particular product candidate, and, if acquired, may results in extensive diligence and preparation efforts, each of which may potentially result in a diversion of our management’s time and the expenditure of our resources with no resulting benefit.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example, if we are unable to identify programs that ultimately result in approved products, we may spend material amounts of our capital and other resources evaluating, acquiring and developing products that ultimately do not provide a return on our investment.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Competitive products may reduce or eliminate the commercial opportunity for avexitide or AMX0035 for our intended indications. If our competitors develop technologies or product candidates more rapidly than we do, or their technologies or product candidates are more effective or safer than ours, our ability to develop and successfully commercialize avexitide or AMX0035 may be adversely affected.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clinical and commercial landscape for the treatment of the diseases we are focused on is highly competitive and subject to rapid and significant technological change. We will face competition with respect to any future indications of avexitide, AMX0035 or other candidates that we may seek to develop or commercialize in the future, from major pharmaceutical companies, specialty pharmaceutical companies and biotechnology companies worldwide. There are also a number of large pharmaceutical and biotechnology companies that currently market and sell drugs or are pursuing the development of drug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Many of our competitors have significantly greater financial resources, established presence in the market and expertise in research and development, manufacturing, preclinical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or more effectively marketed and sold, than any product candidate we may commercialize and may render avexitide, AMX0035 or any future product candidates obsolete or non-competitive before we can recover development and commercialization expenses. If avexitide or AMX0035 is approved for the indications we are currently pursuing, it could compete with a range of therapeutic treatments that are in development. In addition, our competitors may succeed in developing, acquiring or licensing technologies and products that are more effective or less costly than avexitide, AMX0035 or any future product candidates that we may develop, which could render such product candidates obsolete and noncompetitive.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Following any approval for avexitide, AMX0035 or any other future product candidate, we may face competition based on many different factors, including the efficacy, safety and tolerability of our products, the ease with which our products can be administered, the timing and scope of regulatory approvals for these products, the availability and cost of manufacturing, marketing and sales capabilities, price, reimbursement coverage and patent position. Existing and future competing products could present superior treatment alternatives, including being more effective, safer, less expensive or marketed and sold more effectively than any products we commercialize. Competitive products may make any products we commercialize obsolete or noncompetitive before we recover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expense of developing and commercializing our product candidates. Such competitors could also recruit our employees, which could negatively impact our level of expertise and our ability to execute our business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our competitors may obtain patent protection, regulatory exclusivities or regulatory approval and commercialize products more rapidly than we do, which may impact future approvals or sales of any of our product candidates that receive regulatory approval. Following approval by the FDA or other foreign regulatory bodies for the commercial sale of avexitide, AMX0035 or any future product candidates,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our product candidates receive regulatory approval, but cannot compete effectively in the marketplace.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Mergers and acquisitions in the pharmaceutical and biotechnology industries may result in even more resources being concentrated among a smaller number of our competitors.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activities.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Obtaining and maintaining regulatory approval of avexitide, AMX0035 or any future product candidates in one jurisdiction does not mean that we will be successful in obtaining regulatory approval of those product candidates in other jurisdictions.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Obtaining and maintaining regulatory approval of avexitide, AMX0035 and any future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procedures vary among jurisdictions and can involve requirements and administrative review periods different from, and greater than, those in the U.S. and other jurisdictions, including additional preclinical studies or clinical trials, as clinical trials conducted in one jurisdiction may not be accepted by regulatory authorities in other jurisdictions. In many jurisdictions outside the U.S., including Canada, and certain jurisdictions in the EU, in order for a medicinal product to be supplied within the national health insurance system, it must be approved for reimbursement. In some cases, the price that we intend to charge for our products is also subject to approval.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Regulatory authorities in jurisdictions outside of the U.S. have requirements for approval of product candidates with which we must comply prior to marketing in those jurisdictions and such regulatory requirements can vary widely from country to country. Obtaining other regulatory approvals and compliance with other regulatory requirements could result in significant delays, difficulties and costs for us and could require additional preclinical studies or clinical trials, which could be costly and time-consuming and could delay or prevent the introduction of our products in certain countries. The foreign regulatory approval process involves all of the risks associated with FDA approval. We do not have experience in obtaining regulatory approval in international markets outside of Canada. If we fail to comply with the regulatory requirements in international markets and/or obtain and maintain applicable marketing approvals, our target market will be reduced and our ability to realize the full market potential of avexitide, AMX0035 or any future product candidates will be harmed.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Even though we have obtained Orphan Drug Designation for AMX0035 for the treatment of Wolfram syndrome and for avexitide for the treatment of hyperinsulinemic hypoglycemia (which includes PBH and congenital HI) in the U.S. and for congenital HI in the EU by the EMA, we may not be able to obtain or maintain the benefits associated with orphan drug status, including market exclusivity.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Regulatory authorities in some jurisdictions, including the U.S. and the EU, may designate drugs for relatively small patient populations as orphan drugs. Under the Orphan Drug Act, the FDA may designate a drug as an Orphan Drug if it is intended to treat a rare disease or condition, which is generally defined as a patient population of fewer than 200,000 people in the U.S., or a patient population of greater than 200,000 people in the U.S., but for which there is no reasonable expectation that the cost of developing the drug will be recovered from sales in the U.S. In the EU, an orphan designation may be granted in respect of products that are intended for the diagnosis, prevention or treatment of a life-threatening or chronically debilitating condition affecting no more than five in 10,000 people in the EU when the application is made. Additionally, designation is granted for products intended for the diagnosis, prevention or treatment of a life-threatening or chronically debilitating condition when, without incentives, it is unlikely that sales of the product in the EU would be sufficient to justify the necessary investment in developing the product. In either case, the applicant for orphan designation must also demonstrate that no satisfactory method of diagnosis, prevention, or treatment for the condition has been authorized (or, if such a method exists, the new product would be a significant benefit to those affected compared to the product available).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received Orphan Drug Designation status for AMX0035 for the treatment of patients with Wolfram syndrome in the U.S. in November 2020. Eiger received Orphan Drug Designation status for avexitide for the treatment of hyperinsulinemic hypoglycemia (which includes PBH and congenital HI) in the U.S. in December 2016 and orphan designation for congenital HI in the EU from the European Commission in November 2019. Generally, if a drug with an Orphan Drug Designation subsequently receives the first marketing approval for the indication for which it has such designation, the drug may be entitled to a period of marketing exclusivity, which precludes the FDA or the other regulatory bodies from approving another marketing authorization application for the same drug in the same approved use or indication for that time period. Another drug may receive marketing approval prior to avexitide or AMX0035. The applicable period is seven years in the U.S. and ten years in the EU, which may be extended by six months and two years, respectively, in the case of product candidates that have complied with the respective regulatory agency’s agreed upon pediatric investigation plan. The exclusivity period in the EU may be reduced to six years if, at the end of the fifth year, it is demonstrated that a product no longer meets the criteria for orphan designation or if the product is sufficiently profitable so that market exclusivity is no longer justified. In the EU, during the ten-year period of orphan marketing exclusivity, neither the competent authorities of the EU Member States, the EMA, or the European Commission are permitted to accept applications or grant marketing authorization for similar medicinal products to the authorized orphan product. A “similar medicinal product” is defined as a medicinal product containing a similar active substance or substances as contained in an authorized orphan medicinal product, and which is intended for the same therapeutic indication. Legislation has been proposed by the European Commission and is progressing through the EU legislative process that, if adopted, could reduce the ten-year period of orphan marketing exclusivity for certain orphan medicinal products. Orphan drug exclusivity may be lost if the FDA or the EMA determines that the request for designation was materially defective or if the manufacturer is unable to assure sufficient quantity of the drug to meet the needs of patients with the rare disease or condition. In addition, even after a drug is granted orphan exclusivity and approved, the FDA and the EMA can subsequently approve another drug for the same approved use or indication before the expiration of the seven-year (or ten-year in the EU) exclusivity period if the FDA or the EMA concludes that the later drug is clinically superior in that it is shown to be safer, more effective or makes a major contribution to patient care. In addition, if an orphan designated product receives marketing approval for an indication broader than or different from what is designated, such product may not be entitled to orphan exclusivity. Even though the FDA has granted Orphan Drug Designation to AMX0035 for the treatment of Wolfram syndrome, if we receive approval for AMX0035 for a modified or different indication, our current Orphan Drug Designation may not provide us with exclusivity.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Orphan Drug Designation does not convey any advantage in, or shorten the duration of, the regulatory review or approval process. Also, regulatory approval for any product candidate may be withdrawn, and other product candidates may obtain approval before us and receive orphan drug exclusivity, which could block us from entering the market.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Even if we obtain orphan drug exclusivity for avexitide or AMX0035, that exclusivity may not effectively protect us from competition because different drugs can be approved for the same approved use or indication before the expiration of the orphan drug exclusivity period. For example, even though AMX0035 is entitled to orphan drug exclusivity, that exclusivity may not prevent the approval of TURSO by the FDA or other regulatory authorities as a monotherapy treatment for Wolfram syndrome if those regulatory agencies determine that TURSO is a different drug product from AMX0035. In addition, the regulatory authorities may find that this monotherapy treatment is clinically superior to our fixed dose product and approve it even if we are granted orphan drug exclusivity. U.S. lawmakers have also recently raised the possibility that regulatory or legislative changes might need to be made to the Orphan Drug Act to foster competition. This includes the introduction of legislation that, if adopted into law, would require us to demonstrate to the FDA that avexitide or AMX0035 would be economically unviable when facing competition to maintain our exclusivity.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pursue Orphan Drug Designation for avexitide or AMX0035 for the treatment of additional indications. The incidence and prevalence of the target patient populations for these indications will be based on our estimates and third-party data. If the market opportunity for these target populations is larger than we estimate, we may be unable to receive Orphan Drug Designation. Additionally, if Orphan Drug Designation is granted, we may be unable to maintain any benefits associated with Orphan Drug Designation, including market exclusivity.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Periodically, we make estimates regarding the incidence and prevalence of target patient populations based on various third-party sources and internally generated analysis. Our estimates may be inaccurate or based on imprecise data. As described above, under the Orphan Drug Act, the FDA may designate a drug as an orphan drug if it is intended to treat a rare disease or condition, which is generally defined as a patient population of fewer than 200,000 people in the U.S., or a patient population of greater than 200,000 people in the U.S., but for which there is no reasonable expectation that the cost of developing the drug will be recovered from sales in the U.S. If our incidence or prevalence estimates for future indications for which we may seek Orphan Drug Designation are incorrect, we may be unable to receive Orphan Drug Designation.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Even if the FDA grants Orphan Drug Designation for avexitide or AMX0035 for other indications, exclusive marketing rights in the U.S. may be limited if we seek FDA marketing approval for an indication broader than the orphan designated indication. Additionally, any product candidate that initially receives orphan drug status designation, may lose such designation if the FDA later determines that the request for designation was materially defective or if the manufacturer is unable to assure sufficient quantities of the product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meet the needs of patients with the rare disease or condition. In addition, others may obtain orphan drug status for products addressing the same diseases or conditions as products we are developing, thus limiting our ability to compete in the markets addressing such diseases or conditions for a significant period of time. As a result, our business and prospects could suffer.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pursue Priority Review Designation for product candidates that we may develop, but we might not receive such designations, and Priority Review Designations may not lead to a faster development or regulatory review or approval process.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For example, we received priority review for AMX0035 for the treatment of ALS, and we may in the future request Priority Review Designation for any future product candidates, however, we cannot assume that any application for future indications of avexitide, AMX0035 or any other product candidate we may develop will meet the criteria for that designation.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standard FDA review and approval. For example, the FDA originally set the PDUFA date for AMX0035 for the treatment of ALS, for June 29, 2022, and then extended the review timeline for our NDA to September 2022. Receiving priority review from the FDA does not guarantee approval within the six-month review cycle or at all.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have received and may in the future seek Fast Track Designation by the FDA for a product candidate that we develop, and we may be unsuccessful. If we are successful, the designation may not actually lead to a faster development or regulatory review or approval process.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June 2025, we announced receipt of Fast Track Designation for AMX0114 for the treatment of ALS. We may in the future seek Fast Track Designation for product candidates we develop. 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activities.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Avexitide has been granted Breakthrough Therapy Designation for PBH and congenital HI and we may seek Breakthrough Therapy Designation by the FDA for additional product candidates that we may develop, and we may be unsuccessful. If we are successful, the designation may not lead to a faster development or regulatory review or approval process, and it does not increase the likelihood that our product candidates will receive marketing approval, nor does such designation for avexitide guarantee a faster review process or marketing approval.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Avexitide has been granted Breakthrough Therapy Designation for PBH and congenital HI and we may seek Breakthrough Therapy Designation for any additional product candidate that we may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Designation as a breakthrough therapy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such as avexitide, may not result in a faster development process, review or approval compared to drugs considered for approval under conventional FDA procedures and does not assure ultimate approval by the FDA. In addition, even if any product candidate we develop qualifies as a breakthrough therapy, the FDA may later decide that the drug no longer meets the conditions for qualification and rescind the designation.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FDA has granted Rare Pediatric Disease Designation to avexitide for the treatment of congenital HI. However, a marketing application for avexitide or any other product candidate, if approved, may not meet the eligibility criteria for a priority review voucher.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FDA has granted Rare Pediatric Disease Designation to avexitide for the treatment of congenital HI. Designation of a drug as a drug for a rare pediatric disease does not guarantee that an NDA for such drug will meet the eligibility criteria for a rare pediatric disease priority review voucher at the time the application is approved. Under the FDCA, we will need to request a rare pediatric disease priority review voucher in our original NDA for avexitide. The FDA may determine that an NDA for avexitide, if approved, does not meet the eligibility criteria for a priority review voucher, including for the following reasons: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Congenital HI no longer meets the definition of a rare pediatric disease;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NDA contains an active ingredient that has been previously approved by the FDA;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NDA does not rely on clinical data derived from studies examining a pediatric population and dosages of the drug intended for that population (that is, if the NDA does not contain sufficient clinical data to allow for adequate labeling for use by the full range of affected pediatric patients);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NDA is approved for a different adult indication than the rare pediatric disease for which avexitide is designated.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current law, after September 30, 2029, the FDA may not award any rare pediatric disease priority review vouchers, although the FDA's authority to do so could be extended by Congress in the future.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Product liability lawsuits against us or any of our future collaborators could divert our resources and attention, cause us to incur substantial liabilities and limit commercialization of avexitide, AMX0035 or any other current or future product candidates.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exposed to potential product liability and professional indemnity risks that are inherent in the research, development, manufacturing, marketing and use of pharmaceutical products. The use of avexitide, AMX0035 or any other current or future product candidates by us and any collaborators in clinical trials, and the prior sales of AMX0035 in the U.S. and Canada and continued use pursuant to the free drug program may expose us to liability claims. Product liability claims may be brought against us or our partners by participants enrolled in our clinical trials, patients, health care providers, pharmaceutical companies, our collaborators or others using, administering or selling any of our future approved products. If we cannot successfully defend ourselves against any such claims, we may incur substantial liabilities or be required to limit commercialization of avexitide, AMX0035 or any other current or future product candidates.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any of our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termination of clinical trial sites or entire trial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litigation costs, including with respect to potential class action lawsuits;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or costly settlements with, patients or other claimants;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or a change in the indications for which they may be used;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management and scientific resources from our business operations;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avexitide, AMX0035 or any other current or future product candidates.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the clinical trial process is designed to identify and assess potential side effects, clinical development does not always fully characterize the safety and efficacy profile of a new drug, and it is always possible that a drug, even after regulatory approval, may exhibit unforeseen side effects. If avexitide, AMX0035 or any other current or future product candidates was to cause adverse side effects during clinical trials or after approval, we may be exposed to substantial liabilities. Physicians and patients may not comply with any warnings that identify known potential adverse effects and patients who should not use avexitide, AMX0035 or any of our future product candidates. If any of our current or future product candidates are approved for commercial sale, we will be highly dependent upon consumer perceptions of us and the safety and quality of our products. We could be adversely affected if we are subject to negative publicity associated with illness or other adverse effects resulting from patients’ use or misuse of our products or any similar products distributed by other companies.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we maintain product liability insurance coverage in the amount of up to $10.0 million in the aggregate, including clinical trial liability, this insurance may not fully cover potential liabilities that we may incur. The cost of any product liability litigation or other proceeding, even if resolved in our favor, could be substantial. We may need to increase our insurance coverage as we commercialize avexitide or AMX0035 in the U.S. and other jurisdictions, if approved, or any other current or future product candidate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that receives regulatory approval. In addition,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avexitide, AMX0035 or any other current or future product candidates, which could harm our business, financial condition, results of operations and prospects.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Even if we, or any future collaborators, obtain and maintain regulatory approvals for avexitide, AMX0035 or any other current or future product candidate, the terms of approvals and ongoing regulation of our products may limit how we manufacture and market our products, which could impair our ability to generate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Once regulatory approval has been granted, an approved product and its manufacturer and marketer are subject to ongoing review and extensive regulation. We, and any future collaborators, must therefore comply with requirements concerning advertising and promotion for avexitide, AMX0035 or any other current or future product candidate for which we or they obtain regulatory approval. Promotional communications with respect to prescription drugs are subject to a variety of legal and regulatory restrictions and must be consistent with the information in the product’s approved labeling. Thus, we and any future collaborators will not be able to promote any products we develop for indications or uses for which they are not approved.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manufacturers of approved products and those manufacturers’ facilities are required to comply with extensive FDA and other regulatory bodies’ requirements, including ensuring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our contract manufacturers, any future collaborators and their contract manufacturers could fail to conform to cGMPs and be subject to periodic unannounced inspections by the FDA and other regulatory bodies to monitor and ensure compliance with cGMPs. Despite our efforts to inspect and verify regulatory compliance, one or more of our third-party manufacturing vendors may be found on regulatory inspection by the FDA or other authorities to be not in compliance with cGMP regulations, which may result in shutdown of the third-party vendor or invalidation of drug product lots or processes. In some cases, a product recall may be warranted or required, which would materially affect our ability to supply and market our drug products.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Accordingly, in any jurisdiction where we or any future collaborators receive regulatory approval for avexitide, AMX0035 or one or more future product candidates, we, any future collaborators and our and their contract manufacturers will continue to expend time, money and effort in all areas of regulatory compliance, including manufacturing, production, product surveillance and quality control.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we, and any future collaborators, are not able to comply with post-approval regulatory requirements, we, and any future collaborators, could have the regulatory approvals for avexitide, AMX0035 or any other current or future products withdrawn by regulatory authorities and our, or any future collaborators’, ability to market any future products could be limited, which could adversely affect our ability to achieve or sustain profitability. Further, the cost of compliance with post-approval regulations may have a negative effect on our operating results and financial condition.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Laws and regulations governing any international operations we expect to have in the future may preclude us from developing, manufacturing and selling certain products outside of the U.S. and will require us to develop and implement costly compliance programs.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Various laws, regulations and executive orders, including export control and trade sanctions laws, also restrict the use and dissemination outside of the U.S., or the sharing with certain non-U.S. nationals, of information classified for national security purposes, as well as certain products and technical data relating to those products. 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increase our development costs. Additionally, recent policy proposals in the U.S., if enacted in the future, may make acceptance by the FDA or inclusion in a marketing application of foreign data more difficult or costly.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harm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we may incur substantial costs in order to comply with current or future environmental, health and safety laws and regulations. Environmental laws and regulations may impair our research, development or production efforts. In addition, failure to comply with these laws and regulations may result in substantial fines, penalties or other sanctions. </w:t>
      </w:r>
    </w:p>
    <w:p>
      <w:pPr>
        <w:pStyle w:val="TextBody"/>
        <w:bidi w:val="0"/>
        <w:spacing w:before="240" w:after="283"/>
        <w:jc w:val="center"/>
        <w:rPr>
          <w:rFonts w:ascii="Times New Roman" w:hAnsi="Times New Roman"/>
          <w:sz w:val="20"/>
        </w:rPr>
      </w:pPr>
      <w:r>
        <w:rPr>
          <w:rFonts w:ascii="Times New Roman" w:hAnsi="Times New Roman"/>
          <w:b/>
          <w:color w:val="000000"/>
          <w:sz w:val="20"/>
        </w:rPr>
        <w:t>Risks Related to Our Dependence on Third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rely on third parties to assist in conducting our clinical trials. If they do not perform satisfactorily, we may not be able to obtain regulatory approval or successfully commercialize avexitide, AMX0035 or any other current or future product candidates, or such approval or commercialization may be delayed, and our business could be substantially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relied upon, and plan to continue to rely on, third parties, such as CROs, clinical data management organizations, medical institutions and clinical investigators, to conduct our clinical trials and expect to rely on these third parties to conduct clinical trials of any future product candidate that we develop. Any of these third parties may terminate their engagements with us under certain circumstances. We may not be able to enter into alternative arrangements or do so on commercially reasonable terms. In addition, there is a natural transition period when a new CRO begins work. As a result, delays may occur, which could negatively impact our ability to meet our expected clinical development timelines and harm our business, financial condition and prospects. Clinical trials involve multiple clinical sites, vendors and other third parties and we are dependent on these vendors to ensure appropriate study conduct, statistical analysis and randomization. Errors or deviations they make in any of these activities could impact the usefulness and interpretability of clinical trial results by regulatory authorities. For example, at the Advisory Committee meeting on March 30, 2022, the FDA noted a number of concerns that, in the FDA’s view, impacted the interpretability of the results from the CENTAUR trial. Clinical trials from time to time have deviations where a protocol or standard operating procedure is not perfectly carried out and where corrective actions are taken. While we may perceive these events as low risk, our perception of risk and appropriate corrective actions may differ from that of the regulators’ view. Deviations from protocols or standard operating procedures during studies could result in negative regulatory opinions and outcomes.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 although our reliance on these third parties for clinical development activities limits our control over these activities, we remain responsible for ensuring that each of our trials is conducted in accordance with the applicable protocol, legal and regulatory requirements and scientific standards. Moreover, the FDA and competent authorities of the EU Member States require us to comply with Good Clinical Practices, or GCPs, for conducting, recording and reporting the results of clinical trials to assure that data and reported results are credible and accurate and that the rights, integrity and confidentiality of trial participants are protected. The FDA enforces these GCPs through periodic inspections of trial sponsors, principal investigators, clinical trial sites and IRBs. If we or our third-party contractors fail to comply with applicable GCPs, the clinical data generated in our clinical trials may be deemed unreliable and the FDA or other regulatory body may require us to perform additional clinical trials before approving avexitide or AMX0035, including for additional indications, or any other current or future product candidates, which would delay the regulatory approval process. We cannot be certain that, upon inspection, the FDA or other regulatory body will determine that any of our clinical trials comply with GCPs. For example, our clinical trial sites and investigators have in the past and may in the future engage in protocol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deviations which could impact the overall interpretability of the outcomes of our clinical trials. We are also required to register certain clinical trials and post the results of completed clinical trials on a government-sponsored database, such as ClinicalTrials.gov, within certain timeframes. Failure to do so can result in public notifications of noncompliance, civil monetary penalties, adverse publicity, and also prevent the non-compliant party from receiving future grant funds from the federal government.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activities. These contractors may also have relationships with other commercial entities, including our competitors, for whom they may also be conducting clinical trials or other drug development activities, which could impede their ability to devote appropriate time to our clinical activities.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clinical data necessary for regulatory approvals for avexitide, AMX0035 or any other current or future product candidates. If that occurs, we will not be able to, or may be delayed in our efforts to, successfully commercialize avexitide, AMX0035 or any other current or future product candidates. In such an event, our financial results and the commercial prospects for avexitide, AMX0035 or any other current or future product candidates that we seek to develop could be harmed, our costs could increase and our ability to generate revenues could be delayed, impaired or foreclosed.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also rely on other third parties to store and distribute drug supplies for our clinical trials. Any performance failure on the part of our distributors could delay clinical development or regulatory approval of avexitide, AMX0035 or any other current or future product candidates or commercialization of any resulting products, producing additional losses and depriving us of potential product revenue.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seek to establish additional collaborations and if we are not able to establish and maintain them on commercially reasonable terms, we may have to alter our development and future commercialization plans.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advancement of avexitide, AMX0035, AMX0114, AMX0318 and any other current or future product candidates and development programs or activities, will require substantial additional cash to fund expenses. For some indications of avexitide, AMX0035, AMX0114, AMX0318 or other current or future product candidates, we may decide to collaborate with additional pharmaceutical and biotechnology companies with respect to development and potential commercialization. Likely collaborators may include large and mid-size pharmaceutical companies, regional and national pharmaceutical companies and biotechnology companies. In addition, if we are able to obtain regulatory approval for product candidates from foreign regulatory authorities, we may enter into collaborations with international biotechnology or pharmaceutical companies for the commercialization of such product candidates.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 from competing product candidates, design or results of clinical trials, the likelihood of approval by the FDA or other comparable foreign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collaboration and whether such a collaboration could be more attractive than the one with us for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avexitide, AMX0035, AMX0114, AMX0318 or any other current or future product candidates or bring them to market and generate product revenue.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Collaborations are complex and time-consuming to negotiate and document. Further, there have been a significant number of recent business combinations among large pharmaceutical companies that have resulted in a reduced number of potential future collaborators. Any collaboration agreements that we enter into in the future may contain restrictions on our ability to enter into potential collaborations or to otherwise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or activities, delay its potential commercialization or reduce the scope of any sales or marketing activities, or increase our expenditures and undertake development or future commercialization activities at our own expense.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entered and may in the future enter into collaborations with third parties for the development and commercialization of avexitide, AMX0035, AMX0114, AMX0318 or any other current or future product candidates, and our prospects with respect to avexitide, AMX0035, AMX0114, AMX0318 and our other current or future product candidates will depend in significant part on the success of those collaborations.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rely on collaborations for the development and future commercialization of avexitide, AMX0035, AMX0114, AMX0318 and any other current or future product candidates. For example, we may utilize a variety of distribution, collaboration and other marketing arrangements with one or more third parties to facilitate commercialization of avexitide or AMX0035 or to identify novel drug candidates for neurodegenerative or other diseases. Our likely collaborators for any distribution, development, sales, marketing, licensing or broader collaboration arrangements include large and mid-size pharmaceutical companies, regional and national pharmaceutical companies and biotechnology companies. If we enter into such collaborations, we may have limited control over the amount and timing of resources that our collaborators dedicate to the development or commercialization of avexitide, AMX0035, AMX0114, AMX0318 or any other current or future product candidates. Our ability to generate revenues from these arrangements will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Collaborations involving avexitide, AMX0035, AMX0114, AMX0318 and any other current or future product candidates pose a number of risks,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perform their obligations as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pursue development and commercialization of avexitide, AMX0035, AMX0114, AMX0318 or any future product candidates or may elect not to continue or renew development or commercialization programs, based on clinical trial results, changes in the collaborators’ strategic focus or available funding or external factors, such as an acquisition, that divert resources or create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avexitide, AMX0035, AMX0114, AMX0318 or any of our other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with marketing and distribution rights to one or more products may not commit sufficient resources to the marketing and distribution of such product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disagreements with collaborators, including disagreements over proprietary rights, including trade secrets and intellectual property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infringe the intellectual property rights of third parties, which may expose us to litigation and potential liability;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and, if terminated, may result in a need for additional capital to pursue further development or commercialization of the applicable product candidates.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Collaboration agreements may not lead to development or commercialization of product candidates in the most efficient manner or at all. If any future collaborator of ours is involved in a business combination, it could decide to delay, diminish or terminate the development or commercialization of any product candidate licensed to it by us. </w:t>
      </w:r>
    </w:p>
    <w:p>
      <w:pPr>
        <w:pStyle w:val="TextBody"/>
        <w:bidi w:val="0"/>
        <w:spacing w:before="240" w:after="283"/>
        <w:jc w:val="left"/>
        <w:rPr>
          <w:rFonts w:ascii="Times New Roman" w:hAnsi="Times New Roman"/>
          <w:sz w:val="20"/>
        </w:rPr>
      </w:pPr>
      <w:r>
        <w:rPr>
          <w:rFonts w:ascii="Times New Roman" w:hAnsi="Times New Roman"/>
          <w:b/>
          <w:i/>
          <w:color w:val="000000"/>
          <w:sz w:val="20"/>
        </w:rPr>
        <w:t>Our use of third parties to manufacture avexitide or AMX0035 in compliance with cGMP may increase the risk that we will not have sufficient cGMP-compliant quantities of avexitide or AMX0035 or necessary quantities of such materials on time or at an acceptable cost.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own or operate manufacturing facilities for the production of clinical or commercial quantities of avexitide or AMX0035, and we currently lack the resources and the capabilities to do so. As a result, we currently rely on third parties for the manufacture and supply of the active pharmaceutical ingredients, or APIs, in avexitide and AMX0035, and for the blending and packaging of avexitide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AMX0035 in accordance with applicable law, regulations and standards. Our current strategy is to outsource all manufacturing of avexitide and AMX0035 and any other current or future product candidates to third parties.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currently engage third-party manufacturers to provide the APIs of avexitide and AMX0035 and for the final drug product formulation of avexitide and AMX0035 that is being or will be used in our clinical trials and for expanded access and commercial supply, as applicable, and we engage separate third parties for the blending and packaging of finished clinical materials. We must be able to demonstrate comparability of drug substance across suppliers along with stability data across suppliers. We currently rely on single manufacturers to supply each of our APIs. Although we believe that there are several potential alternative manufacturers who could manufacture each of the APIs in avexitide and AMX0035, we may incur added costs and delays in identifying and qualifying any such replacement. Moreover, the extent to which rising demand in certain APIs, geopolitical events, global health crises or economic policies, including tariffs, may impact our ability to procure sufficient supplies for the development of avexitide and AMX0035, and any other current or future products and product candidates will depend on whether the economic challenges caused by such events continue to impact the global economy and supply chains, among many other factors. For example, recent increased demand for GLP-1 and other peptide-based therapeutics has, and in the future could continue to, result in increased competition for our suppliers’ and manufacturers’ services and limited capacity, which could limit our access to, and increase our costs for, production and potentially harm our business and results of operations. There is no assurance that we will be able to obtain adequate third-party contract supply and/or manufacturing capacity for future clinical trials and commercialization, and may in the future need to make prioritization decisions about where our supply of peptide-based API will be distributed, which could potentially impact our commercial supply or commercialization efforts. We cannot be sure that single-source suppliers for the raw materials or components used in our product candidates and products will remain in business or that they will not be purchased by one of our competitors or another company that is not interested in continuing to produce our raw materials or components for our intended purpose. There is no assurance that we will be able to timely secure needed supply arrangements on satisfactory terms, or at all, to meet the clinical demands, the validation requirements for an NDA filing or the potential commercial demands. Our failure to secure these arrangements as needed could have a material adverse effect on our ability to complete the development of avexitide, AMX0035 or any other current or future product candidates or, to commercialize them, if approved. We may be unable to conclude agreements for commercial supply with third-party manufacturers, or may be unable to do so on acceptable terms. There may be difficulties in scaling up to commercial quantities and formulation of avexitide and AMX0035, and the costs of manufacturing could be prohibitive.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Following our announcement to begin the process to voluntarily withdraw RELYVRIO and ALBRIOZA from the market, we entered into negotiations with each of our third-party manufacturers to redefine our relationship going forward. These negotiations are ongoing and may result in irreparable damage to our relationship with one or more suppliers, making our further development and potential commercialization challenging.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Even if we are able to establish and maintain arrangements with third-party manufacturers, reliance on third-party manufacturers entails additional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failure of the third-party manufacturer to comply with applicable regulatory requirements, including cGMPs, and reliance on third parties for manufacturing process development, regulatory compliance and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delays if our third-party manufacturers give greater priority to the supply of other products over avexitide, AMX0035 or any other current or future product candidates or otherwise do not satisfactorily perform according to the terms of the agreement between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supply availability resulting from capacity and scheduling constraints of third parties, or as a result of economic or political developments, including the ongoing conflicts in Ukraine and the Middle East and global economic instability;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manufacturing agreements by third parties because of factors beyond our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manufacturing agreements by a third-party, at a time that is costly or inconvenient to us;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our trade secrets and know-how.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do not maintain our key manufacturing relationships, or if any of our contract manufacturers fail to perform their obligations, we may fail to find replacement manufacturers or develop our own manufacturing capabilities, which could delay or impair our ability to obtain regulatory approval for our products. If we do find replacement manufacturers, we may not be able to enter into agreements with them on terms and conditions favorable to us and there could be a substantial delay before new facilities could be qualified and registered with the FDA and other foreign regulatory authorities.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Any change in manufacturer may also involve changes in manufacturing procedures and processes, which could require that we conduct bridging studies between our prior clinical supply used in our clinical trials and that of any new manufacturer. In addition,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will need to verify that any new manufacturing process will produce our product candidate according to the specifications previously submitted to the FDA or another regulatory authority. We may be unsuccessful in demonstrating the comparability of clinical supplies which could require the conduct of additional clinical trials.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some cases, the technical skills required to manufacture avexitide, AMX0035 or any other current or future products or product candidates may be unique or proprietary to the original contract manufacturer and we may have difficulty, or there may be contractual restrictions prohibiting us from, transferring such skills to a back-up or alternate supplier, or we may be unable to transfer such skills at all. Furthermore, a contract manufacturer may possess or acquire technology related to the manufacture of avexitide, AMX0035 or any other current or future product candidate that such contract manufacturer owns independently. This would increase our reliance on such contract manufacturer or require us to obtain a license from such contract manufacturer in order to have another contract manufacturer manufacture avexitide, AMX0035 or any other current or future product candidates. If AMX0035 for any of our initial or potential additional indications, avexitide or any future product candidate is approved by any regulatory agency, we intend to utilize arrangements with third-party contract manufacturers for the commercial production of those products. This process is difficult and time consuming and we may face competition for access to manufacturing facilities as there are a limited number of contract manufacturers operating under cGMPs that are capable of manufacturing avexitide, AMX0035 or any other current or future product candidates. Consequently, we may not be able to reach agreement with third-party manufacturers on satisfactory terms, which could delay our commercialization.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failure, or the failure of our third-party manufacturers, to comply with applicable regulations could result in sanctions being imposed on us, including clinical holds, fines, injunctions, civil penalties, delays, suspension or withdrawal of approvals, seizures or voluntary recalls of avexitide, AMX0035 or any other current or future product candidates, operating restrictions and criminal prosecutions, any of which could significantly affect supplies of avexitide, AMX0035 or any other current or future product candidates. The facilities used by our contract manufacturers to manufacture avexitide, AMX0035 or any other current or future product candidates must be evaluated by the FDA and certain other foreign regulatory authorities. We do not control the manufacturing process of, and are completely dependent on, our contract manufacturing partners for compliance with cGMPs. If our contract manufacturers cannot successfully manufacture material that conforms to our specifications and the strict regulatory requirements of the FDA or others, we may not be able to secure and/or maintain regulatory approval for our product manufactured at these facilities. In addition, we have no control over the ability of our contract manufacturers to maintain adequate quality control, quality assurance and qualified personnel. If the FDA or other comparable foreign regulatory authority finds deficiencies or does not approve these facilities for the manufacture of avexitide, AMX0035 or any other current or future product candidates, or if it withdraws any such approval in the future, we may need to find alternative manufacturing facilities, which would significantly impact our ability to develop, obtain regulatory approval for or market avexitide, AMX0035 or any other current or future product candidates, if approved. Furthermore, if we are required to change contract manufacturers, we will be required to verify that the new contract manufacturer maintains facilities and procedures that comply with quality standards and with all applicable regulations, which could result in further costs and delays. 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and comparable foreign regulatory requirements could adversely affect our clinical research activities and our ability to develop avexitide, AMX0035 or any other current or future product candidates and market our products,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and other foreign regulatory authorities require manufacturers to register manufacturing facilities. The FDA and corresponding foreign regulators also inspect these facilities to confirm compliance with cGMPs. 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and comparable foreign regulatory requirements could adversely affect our clinical research activities and our ability to develop avexitide, AMX0035 or any future product candidates and market our products following approval.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need to obtain or maintain licenses for active ingredients from third parties to develop and commercialize avexitide, AMX0035 or a future product candidate, which could increase our development costs and delay our ability to commercialize such product candidate.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Should we decide to use API in any of avexitide, AMX0035 or any other current or future product candidates that are proprietary to one or more third parties, we would need to obtain or maintain licenses to those active ingredients from those third parties. If we are unable to gain or continue to access rights to these active ingredients prior to conducting preclinical toxicology studies intended to support clinical trials, we may need to develop alternate product candidates from these programs by either accessing or developing alternate active ingredients, resulting in increased development costs and delays in commercialization of these product candidates. If we are unable to gain or maintain continued access rights to the desired active ingredients on commercially reasonable terms or develop suitable alternate active ingredients, we may not be able to commercialize product candidates from these programs.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Risks Related to Commercialization of avexitide, AMX0035 or Future Product Candidates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markets for avexitide for PBH, and congenital HI, for AMX0035 for Wolfram syndrome and other neurodegenerative diseases, and for any other product candidates we are currently developing or may in the future develop or acquire may be smaller than we expect.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historically focused our research and product development on treatments of neurodegenerative diseases, and we recently expanded into other diseases, many of which are rare diseases with small addressable patient populations. We base our market opportunity estimates on a variety of factors, including our estimates of the number of people who have these diseases, the potential scope of our approved product labels, the subset of people with these diseases who have the potential to benefit from treatment with avexitide, AMX0035 or any other current or future product candidates, various pricing scenarios and our understanding of reimbursement policies for rare diseases in particular countries. These estimates are based on many assumptions and may prove incorrect, and new studies may reduce the estimated incidence or prevalence of these diseases. Estimating market opportunities can be particularly challenging for rare indications, such as the ones we currently address, as epidemiological data is often more limited than for more prevalent indications and can require additional assumptions to assess potential patient populations. If we are unable to identify patients and successfully commercialize avexitide, AMX0035 or any other current or future product candidates with attractive market opportunities, our future product revenues may be smaller than anticipated, and our business may suffer.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Patient identification efforts also influence the ability to address a patient population. If efforts in patient identification are unsuccessful or less impactful than anticipated, for instance, because of a lack of diagnostic initiatives, inadequate disease awareness among healthcare professionals, difficulties in identifying and accessing patients outside of larger treatment centers or otherwise, we may not address the entirety of the opportunity we are seeking. As a result, patients may be difficult to identify and access, the addressable patient population in the countries in which we are seeking authorization and elsewhere may turn out to be lower than expected, or patients may not be otherwise amenable to treatment with our products, all of which would adversely affect our business, financial condition, results of operations and prospects.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are unable in the future to expand our sales, marketing, manufacturing and distribution capabilities or enter into agreements with third parties to market and sell avexitide, AMX0035 or other current or future product candidates for which we obtain marketing approval, we will be unable to generate any additional product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successfully commercialize any products that may result from our development activities or that we may acquire, we would need to continue to expand our sales, marketing, pharmacovigilance, manufacturing and distribution capabilities, either on our own or with others. RELYVRIO/ALBRIOZA, formerly sold in Canada and the U.S. for the treatment of ALS before being voluntarily withdrawn from the market, was the first product that we commercialized and built a global marketing and sales team for. The development of our own marketing and distribution effort was expensive and time-consuming and any efforts to do so in connection with our other product candidates may be expensive and time-consuming and could delay any further product launches. Moreover, we cannot be certain that we will be able to develop this capability successfully again in the future, despite our experience. We may enter into collaborations regarding any approved product candidates with other entities to utilize their established marketing and distribution capabilities, however, we may be unable to enter into such agreements on favorable terms, if at all. If any future collaborators do not commit sufficient resources to commercialize avexitide, AMX0035 or any other current or future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may also face competition in our search for third parties to assist us with the sales and marketing efforts of avexitide, AMX0035 and any other current or future product candidates, if approved. Without an internal team or the support of a third-party to perform marketing and sales functions, we may be unable to compete successfully against these more established companies.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Even if any current or future product candidate of ours receives regulatory approval, it may fail to maintain the degree of market acceptance by physicians, patients, third-party payors and others in the medical community necessary for continued commercial success or to remain profitable.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Even if avexitide, AMX0035 for the treatment of any indication or any other current or future product candidate of ours, is approved by the appropriate regulatory authorities for marketing and sale, it may nonetheless fail to gain sufficient market acceptance by physicians, patients, third-party payors and others in the medical community. Physicians may be reluctant to add avexitide, AMX0035 or another product to their patients’ treatment regimen, or may cease to add avexitide, AMX0035 or such product to their patients’ treatment regimen. Further, patients often acclimate to the treatment regime they are currently taking and do not want to add additional treatments unless their physicians recommend it. Further, patients may be unable to add avexitide, AMX0035 or such other product to their treatment regimen due to lack of coverage and adequate reimbursement. In addition, even if we are able to demonstrate our product candidates’ safety and efficacy to the FDA and other regulators, safety or efficacy concerns in the medical community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hinder market acceptance. Our ability to proactively educate health care professionals and patients may be limited based on the marketing restrictions in a given jurisdiction, specifically as they relate to the particular labeling approved by the applicable health authority.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Efforts to educate the medical community and third-party payors on the benefits of our current and any future product candidates may require significant resources, including management time and financial resources, and may not be successful. If avexitide, AMX0035 or any other current or future product candidate is approved but does not achieve an adequate level of market acceptance, we may not generate significant revenues and we may not remain profitable. The degree of market acceptance of avexitide, AMX0035 and any other future product candidates, if approved for commercial sale,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advantages of the product compared to competitive therapies and our ability to successfully publicize these advantages or highlight them in any marketing materials;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the product is designated under physician treatment guidelines as a first-, second- or third-line therapy or as a single agent or in combination;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or the ability of any future collaborators, to offer the product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product’s convenience, tolerability and ease of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and of physicians to prescribe,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or warnings, including distribution or use restrictions contained in the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sales, marketing and distribution support;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standard of care for the targeted indications for the product;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and adequacy of coverage and reimbursement from government payors, managed care plans and other third-party payors.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failure by avexitide, AMX0035 or any other current or future product candidate of ours that obtains regulatory approval to achieve market acceptance or commercial success would adversely affect our business prospects.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Avexitide, AMX0035 or any future product candidates for which we, or any future collaborators, obtain regulatory approval in the future will be subject to ongoing obligations and continued regulatory review, which may result in significant additional expense. If approved, avexitide, AMX0035 and any future product candidates could be subject to post-marketing restrictions or withdrawal from the market and we, or any future collaborators, may be subject to substantial penalties if we, or they, fail to comply with regulatory requirements or if we, or they, experience unanticipated problems with our products following approval.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Avexitide, AMX0035 or any other current or future product candidates for which we, or any future collaborators, obtain regulatory approval, as well as the manufacturing processes, post-approval studies, labeling, advertising and promotional activities for such product, among other things, will be subject to ongoing requirements of and review by the FDA and other applicable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For certain commercial prescription drug products, manufacturers and other parties involved in the supply chain must also meet chain of distribution requirements and build electronic, interoperable systems for product tracking and tracing and notify the FDA of counterfeit, diverted, stolen and intentionally adulterated products or other products that are otherwise unfit for distribution in the U.S. We and our contract manufacturers will also be subject to user fees and periodic inspection by regulatory authorities to monitor compliance with these requirements and the terms of any product approval we may obtain. Even if regulatory approval of a product candidate is granted, the approval may be subject to limitations on the indications or uses for which the product may be marketed or to the conditions of approval, including the requirement in the U.S. to implement a Risk Evaluation and Mitigation Strategy, or REMS.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FDA and other regulatory authorities may also impose requirements for costly post-marketing studies or clinical trials and surveillance to monitor the safety or efficacy of a product. Additionally,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Regulatory authorities impose stringent restrictions on manufacturers’ communications regarding off-label use. However, companies generally may share truthful and not misleading information that is otherwise consistent with a product’s approved labeling. If we, or any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collaborators, do not market avexitide, AMX0035 or any of our other current or future product candidates for which we, or they, receive regulatory approval for only their approved indications, we, or they, may be subject to warnings or enforcement action for off-label marketing if it is alleged that we are doing so. Violation of laws and regulations relating to the promotion and advertising of prescription drugs may lead to investigations or allegations of violations of federal and state health care fraud and abuse laws and state consumer protection laws, including the False Claims Act and any comparable foreign laws. In the EU, the direct-to-consumer advertising of prescription-only medicinal products is prohibited. Violations of the rules governing the promotion of medicinal products in the EU could be penalized by administrative measures, fines and imprisonment. These laws may further limit or restrict the advertising and promotion of our products to the general public, if approved, and may also impose limitations on our promotional activities with health care professionals.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later discovery of previously unknown AEs or other problems with our products or their manufacturers or manufacturing processes, or failure to comply with regulatory requirements, may yield various results,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manufacturing of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labeling or marketing of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product distribution or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conduct post-marketing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warning letters or untitled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the products from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approve pending applications or supplements to approved applications that we submit;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recall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coverage by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restitution or disgorgement of profits or revenues;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exclusion from federal health care programs such as Medicare and Medicaid;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permit the import or export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are not able to comply with post-approval regulatory requirements, we could have the marketing approvals for avexitide, AMX0035 or any future approved products withdrawn or restricted by regulatory authorities, or we may voluntarily do so, and our ability to market avexitide, AMX0035 or any future approved products, to develop avexitide or AMX0035 in the U.S. or additional jurisdictions or for additional indications, and to develop and seek approval for additional product candidates could become limited, which could adversely affect our ability to achieve or sustain profitability. As a result, the cost of compliance with post-approval regulatory requirements may have a negative effect on our operating results and financial condition.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fail to obtain coverage and reimbursement for avexitide, AMX0035 or any other current or future product candidates in new geographies, it could make it difficult for us to sell avexitide, AMX0035 or any other current or future product candidates profitably.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success of avexitide, AMX0035 and any of our other current or future product candidates, if approved, depends on the availability of adequate coverage and reimbursement from third-party payors. Because avexitide, AMX0035 and any other current or future product candidates represent new approaches to the treatment of the diseases they target, we cannot be sure that coverage and reimbursement will be available for, or accurately estimate the potential revenue from, avexitide, AMX0035 and any other current or future product candidates or for any product that we may develop. If we are unable to obtain adequate levels of reimbursement, our ability to successfully market and sell any such product candidates will be adversely affected. The manner and level at which reimbursement is provided for services related to any current or future product candidates we may develop (e.g., for the administration of our product candidate to patients) is also important. Inadequate reimbursement for such services may lead to physician and payor resistance and adversely affect our ability to market or sell avexitide, AMX0035 or any other current or future product candidates we may develop. In addition, we may need to develop new reimbursement models, in order to realize adequate value. Payors may not be able or willing to adopt such new models and patients may be unable to afford that portion of the cost that such models may require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them to bear. If we determine such new models are necessary, but we are unsuccessful in developing them, or if payors do not adopt such models, our business, financial condition, results of operations and prospects could be adversely affected. For additional information on coverage and reimbursement, see the section entitled “</w:t>
      </w:r>
      <w:r>
        <w:rPr>
          <w:rFonts w:ascii="Times New Roman" w:hAnsi="Times New Roman"/>
          <w:i/>
          <w:color w:val="000000"/>
          <w:sz w:val="20"/>
        </w:rPr>
        <w:t>Business—Government Regulation—Coverage and Reimbursement</w:t>
      </w:r>
      <w:r>
        <w:rPr>
          <w:rFonts w:ascii="Times New Roman" w:hAnsi="Times New Roman"/>
          <w:color w:val="000000"/>
          <w:sz w:val="20"/>
        </w:rPr>
        <w:t>” in our 2025 Annual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Patients who are provided medical treatment for their conditions generally rely on third-party payors to reimburse all or part of the costs associated with their treatment. Adequate coverage and reimbursement from governmental healthcare programs, such as Medicare and Medicaid, and commercial payors, such as private health insurers and health maintenance organizations, are critical to new product acceptance. Government authorities and other third-party payors decide which drugs and treatments they will cover and the reimbursement amount. Coverage and reimbursement by a third-party payor may depend upon a number of factors.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U.S., no uniform policy of coverage and reimbursement for products exists among third-party payors. As a result, obtaining coverage and reimbursement approval of a product from a government or other third-party payor is a time consuming and costly process that could require us to provide to each payor supporting scientific, clinical and cost-effectiveness data for the use of our products on a payor-by-payor basis, with no assurance that coverage and adequate reimbursement from third-party payors will be obtained. There is significant uncertainty related to the insurance coverage and reimbursement of newly approved products, which uncertainty may be heightened where the product is subject to post-marketing conditions or requirements to provide additional clinical data. In the U.S., the principal decisions about reimbursement for new medicines are typically made by the Centers for Medicare &amp; Medicaid Services, or CMS, an agency within the U.S. Department of Health and Human Services, as CMS decides whether and to what extent a new medicine will be covered and reimbursed under Medicare. Private payors tend to follow CMS to a substantial degree. Even if we obtain coverage for a given product, the resulting reimbursement payment rates might not be adequate for us to achieve or sustain profitability or may require co-payments that patients find unacceptably high. Future coverage and reimbursement may be subject to increased restrictions, such as prior authorization requirements, both in the U.S. and in international markets. Orphan drugs are typically placed on the highest cost-sharing tier and a substantial percentage are subject to prior authorization requirements. Reimbursement agencies in the EU may be more conservative than CMS.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Outside the U.S., international operations are generally subject to extensive governmental price controls and other market regulations, and we believe the increasing emphasis on cost-containment initiatives in Canada, the EU and other countries has and will continue to put pressure on the pricing and usage of drug products such as avexitide, AMX0035 and any other current or future product candidates we may develop, if approved. We may also incur additional challenges when seeking reimbursement from public and private payers where avexitide, AMX0035 or any future product candidate has been approved subject to post-marketing conditions. Moreover, we might obtain marketing approval for a product in a particular country, but then be subject to price regulations that delay or might even prevent our commercial launch of the product, possibly for lengthy periods of time.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U.S. Other countries allow companies to fix their own prices for products but monitor and control company profits. Additional foreign price controls or other changes in pricing regulation could restrict the amount that we are able to charge for product candidates. Accordingly, in markets outside the U.S., the reimbursement for avexitide, AMX0035 and any other current or future product candidates we may develop may be reduced compared with the U.S. and may be insufficient to generate commercially reasonable revenues and profits.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Ongoing healthcare legislative and regulatory reform measures may have a material adverse effect on our business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more information, see the section entitled “</w:t>
      </w:r>
      <w:r>
        <w:rPr>
          <w:rFonts w:ascii="Times New Roman" w:hAnsi="Times New Roman"/>
          <w:i/>
          <w:color w:val="000000"/>
          <w:sz w:val="20"/>
        </w:rPr>
        <w:t>Business – Government Regulation – Current and Future U.S. Healthcare Reform Legislation</w:t>
      </w:r>
      <w:r>
        <w:rPr>
          <w:rFonts w:ascii="Times New Roman" w:hAnsi="Times New Roman"/>
          <w:color w:val="000000"/>
          <w:sz w:val="20"/>
        </w:rPr>
        <w:t xml:space="preserve">” in our 2025 Annual Report.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Most recently, the Trump Administration has pursued a multi-pronged most-favored-nation (“MFN”) drug pricing strategy that could materially affect our ability to generate revenue from our product candidates, if approved. This strategy includes the May 12, 2025 Executive Order directing HHS to communicate MFN price targets to manufacturers, resulting in voluntary MFN pricing agreements between the Administration and 17 major manufacturers (committing to Medicaid price parity, MFN pricing on new launches, and participation in TrumpRx.gov in exchange for tariff relief and regulatory benefits); CMS’s proposed mandatory GLOBE (Medicare Part B) and GUARD (Medicare Part D) payment models that would impose incremental rebate obligations on manufacturers of qualifying single-source drugs in specified therapeutic categories, and a voluntary Medicaid MFN model (GENEROUS). Legislative proposals, including the “Most Favored Patient Act” introduced in March 2026, seek to codify these initiatives. It is unclear whether these proposals will survive legal challenge (a prior MFN model was halted by federal courts and rescinded); but, this movement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represents an evolving area of uncertainty that could materially adversely affect our pricing strategy and revenue, if our product candidates are approved and achieve commercial scale.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at the state level, legislatures have increasingly passed legislation and implemented regulations similar to those under consideration at the federal level, as well as laws designed to control pharmaceutical and biotherapeutic product pricing, including restrictions on pricing or reimbursement at the state government level, limitations on discounts to patients, marketing cost disclosure and transparency measures, restrictions or other limitations on patient assistance, and, in some cases, policies to encourage importation from other countries (subject to federal approval) and bulk purchasing. Certain states are also pursuing cost containment efforts through Prescription Drug Affordability Boards, or PDABs, and similar entities.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demand for avexitide, AMX0035 or any other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set a price that we believe is fair for our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revenue and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taxes that we are required to pay;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capital.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laws and future state and federal healthcare reform measures that may be adopted in the future may result in additional reductions in Medicare and other healthcare funding and otherwise affect the prices we may obtain for avexitide, AMX0035 or any other current or future product candidates for which we may obtain regulatory approval or the frequency with which any such product candidate is prescribed or used. For example, the Inflation Reduction Act of 2022, or IRA, contains provisions that require companies to pay rebates to Medicare for certain drug prices that increase faster than inflation. In addition, any reduction in reimbursement from Medicare or other government programs may result in a similar reduction in payments from private payors. The implementation of cost containment measures or other healthcare reforms may prevent us from being able to generate revenue, sustain profitability or commercialize our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Moreover, increasing efforts by governmental and third-party payors in the U.S.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 effect of these reform efforts on our business and the healthcare industry in general is not yet known.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Additionally, in its June 2024 decision in Loper Bright Enterprises v. Raimondo, or </w:t>
      </w:r>
      <w:r>
        <w:rPr>
          <w:rFonts w:ascii="Times New Roman" w:hAnsi="Times New Roman"/>
          <w:i/>
          <w:color w:val="000000"/>
          <w:sz w:val="20"/>
        </w:rPr>
        <w:t>Loper Bright</w:t>
      </w:r>
      <w:r>
        <w:rPr>
          <w:rFonts w:ascii="Times New Roman" w:hAnsi="Times New Roman"/>
          <w:color w:val="000000"/>
          <w:sz w:val="20"/>
        </w:rPr>
        <w:t xml:space="preserve">, the U.S. Supreme Court overturned the longstanding Chevron doctrine, under which courts were required to give deference to regulatory agencies’ reasonable interpretations of ambiguous federal statutes. The </w:t>
      </w:r>
      <w:r>
        <w:rPr>
          <w:rFonts w:ascii="Times New Roman" w:hAnsi="Times New Roman"/>
          <w:i/>
          <w:color w:val="000000"/>
          <w:sz w:val="20"/>
        </w:rPr>
        <w:t>Loper Bright</w:t>
      </w:r>
      <w:r>
        <w:rPr>
          <w:rFonts w:ascii="Times New Roman" w:hAnsi="Times New Roman"/>
          <w:color w:val="000000"/>
          <w:sz w:val="20"/>
        </w:rPr>
        <w:t xml:space="preserve"> decision could result in additional legal challenges to current regulations and guidance issued by federal agencies applicable to our operations, including those issued by the FDA. Congress may introduce and ultimately pass health care related legislation that could, among others, impact the drug approval process, modify the Medicare Drug Price Negotiation Program, expand the Orphan Drug exclusion in the IRA, and reduce Medicaid enrollment and funding. Any reduction in reimbursement from Medicare or other government-funded programs may result in a similar reduction in payments from private payors. The implementation of current and future cost containment measures or other healthcare reforms may adversely affect our operations and prevent us from being able to generate revenue, attain profitability or commercialize our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 state and federal healthcare reform measures are expected to be adopted in the future, any of which could limit the amounts that federal and state governments will pay for healthcare products and services, which could result in reduced demand for certain pharmaceutical products or additional pricing pressures.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While some of these and other proposed measures may require additional authorization to become effective, Congress and the Trump administration have each indicated that it will continue to seek new legislative and/or administrative measures to decrease pharmaceutical prices in the United States.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Governments outside the U.S. may impose strict price controls, which may adversely affect our revenues, if any.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some countries, including Canada and certain Member States of the EU, the pricing of prescription drugs is, in part, subject to governmental control. Additional countries may adopt similar approaches to the pricing of prescription drugs. In such countries, pricing negotiations with governmental authorities can take considerable time after receipt of regulatory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In some countries, we may be required to conduct a clinical trial or other trials that compare the cost-effectiveness of avexitide, AMX0035 or any other current or future product candidates to other available therapies in order to obtain or maintain reimbursement or pricing approval, which is time-consuming and costly. We cannot be sure that such prices and reimbursement will be acceptable to us.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by us or our strategic partners and the potential profitability of avexitide, AMX0035 or any other current or future product candidates in those countries would be negatively affected.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relationships with healthcare providers, physicians, patients and third-party payors may be subject to applicable anti-kickback, fraud and abuse and other healthcare laws and regulations, which could expose us to criminal sanctions, civil penalties, contractual damages, reputational harm and diminished profits and future earnings.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Healthcare providers, physicians and third-party payors in the U.S. and elsewhere play a primary role in the recommendation and prescription of pharmaceutical products. Arrangements with third-party payors and customers can expose pharmaceutical manufacturers to broadly applicable fraud and abuse and other healthcare laws and regulations, including, without limitation, the federal Anti-Kickback Statute and the federal False Claims Act, or FCA, which may constrain the business or financial arrangements and relationships through which such companies conduct research, sell, market and distribute pharmaceutical products.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For more information, see the section entitled “</w:t>
      </w:r>
      <w:r>
        <w:rPr>
          <w:rFonts w:ascii="Times New Roman" w:hAnsi="Times New Roman"/>
          <w:i/>
          <w:color w:val="000000"/>
          <w:sz w:val="20"/>
        </w:rPr>
        <w:t>Business – Government Regulation - Other U.S. Healthcare Laws</w:t>
      </w:r>
      <w:r>
        <w:rPr>
          <w:rFonts w:ascii="Times New Roman" w:hAnsi="Times New Roman"/>
          <w:color w:val="000000"/>
          <w:sz w:val="20"/>
        </w:rPr>
        <w:t>” in our 2025 Annual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U.S., to help patients afford our approved product, we offer programs to assist them or support third-party organizations’ programs to assist patients,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The HHS Office of Inspector General, or OIG, has issued guidance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Third party patient assistance programs that receive financial support from companies have also become the subject of enhanced government and regulatory scrutiny. The OIG has established guidelines that suggest that it is lawful for pharmaceutical manufacturers to make donations to charitable organizations who provide co-pay assistance to Medicare patients. However, donations to patient assistance programs have received some negative publicity and have been the subject of multiple government enforcement actions, related to allegations regarding their misuse to promote branded pharmaceutical products over other less costly alternatives. Specifically, in recent years, there have been multiple settlements resulting out of government claims challenging the legality of third party patient assistance programs under a variety of federal and state laws. We have in the past and may, from time to time, make charitable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provision of charitable donations or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vendors or charitable foundations that may violate the laws or regulations of the jurisdictions in which we operate.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Regardless of whether we have complied with the law, a government investigation, including of any business partners, vendors or charitable foundations, could impact our business practices, harm our reputation, divert the attention of management, increase our expenses, and reduce the availability of foundation support for our patients who need assistance.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distribution of pharmaceutical products is also subject to additional requirements and regulations, including extensive recordkeeping, licensing, storage and security requirements intended to prevent the unauthorized sale of pharmaceutical products.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The scope and enforcement of each of these laws is uncertain and subject to rapid change in the current environment of healthcare reform.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government-funded healthcare programs, such as Medicare and Medicaid, or similar programs in other countries or jurisdictions, disgorgement, imprisonment, contractual damages, reputational harm, diminished profits, additional reporting requirements and oversight if we become subject to a corporate integrity agreement or similar agreement to resolve allegations of non-compliance with these laws and the delay, reduction, termination or restructuring of our operations. Further, defending against any such actions can be costly and time-consuming, and may require significant financial and personnel resources. Therefore, even if we successfully defend against any such actions that may be brought against us, our business may be impaired. If any of the physicians or other providers or entities with whom we expect to do business is found to not comply with applicable laws, they may be subject to significant criminal, civil or administrative sanctions, including exclusions from government-funded healthcare programs and imprisonment. If any of the above occur, it could adversely affect our ability to operate our business and our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Pharmaceutical companies with approved products participate in the Medicaid Drug Rebate Program, the 340B program, the U.S. Department of Veterans Affairs, Federal Supply Schedule, or FSS, pricing program, and the Tricare Retail Pharmacy program, which require disclosing average manufacturer pricing and average sales pricing information. Pricing and rebate calculations vary across products and programs, are complex, and are often subject to interpretation by the pharmaceutical company, governmental or regulatory agencies and the courts. Furthermore, regulatory and legislative changes, and judicial rulings relating to these programs and policies (including coverage expansion), have increased and will continue to increase the cost and the complexity of compliance, have been and will continue to be time-consuming to implement, and, once we have approved products, could have a material adverse effect on our results of operations, particularly if CMS or another agency challenges the approach we take in our implementation. For example, in the case of our Medicaid pricing data, if a pharmaceutical company becomes aware that its reporting for a prior quarter was incorrect or has changed as a result of recalculation of the pricing data, the company is generally obligated to resubmit the corrected data for up to three years after those data originally were due. Once we have approved products, if we are required to submit these corrected data, such restatements increase our costs and could result in an overage or underage in rebate liability for past quarters. Price recalculations also may affect the ceiling price at which a pharmaceutical company is required to offer products under the 340B program and give rise to an obligation to refund entities participating in the 340B program for overcharges during past quarters impacted by a price recalculation.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Civil monetary penalties can be applied if a pharmaceutical company is found to have knowingly submitted any false price or product information to the government, to have made a misrepresentation in the reporting of average sales price, to have failed to submit the required price data on a timely basis, or to have charged 340B covered entities more than the statutorily mandated ceiling price. Additionally, a pharmaceutical company’s agreement to participate in the 340B program or the Medicaid drug rebate agreement could be terminated, in which case federal payments may not be available under Medicaid or Medicare Part D for covered outpatient drugs. Additionally, if a pharmaceutical company overcharges the government in connection with our arrangements with FSS or Tricare Retail Pharmacy, it is required to refund the difference to the government. Failure to make necessary disclosures and/or to identify contract overcharges can result in allegations under the FCA and other laws and regulations. Unexpected refunds to the government, and responding to a government investigation or enforcement action, are expensive and time-consuming, and, to the extent applied to us once we have approved products, could have a material adverse effect on our business, financial condition, results of operations and growth prospects.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 legislation may be introduced that, if passed, would, among other things, further expand the 340B program to additional covered entities or would require participating manufacturers to agree to provide 340B discounted pricing on drugs used in an inpatient setting, and any additional future changes to the definition of average manufacturer price or the Medicaid rebate amount could affect a company’s 340B ceiling price calculations and negatively impact the results of operations. Additionally, certain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pharmaceutical manufacturers are involved in ongoing litigation regarding contract pharmacy arrangements under the 340B program. The outcome of this and other judicial proceedings on the 340B program and the potential impact on the way in which manufacturers extend discounts to covered entities through contract pharmacies under the 340B program remain uncertain.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regulatory framework for the collection, use, safeguarding, sharing, transfer and other information processing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Economic Area, or, EEA, including personal health data, is subject to the EU General Data Protection Regulation, or the GDPR, and similarly, processing of personal data regarding individuals in the United Kingdom, or the UK, including personal health data, is subject to the UK General Data Protection Regulation and the UK Data Protection Act 2018, or, collectively the UK GDPR, and together with the EU GDPR, the GDPR. The GDPR is wide-ranging in scope and imposes numerous requirements on companies that process personal data, including requirements relating to processing health and other sensitive data, obtaining the consent of the individuals to whom the personal data relates, providing detailed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EEA/UK that are not considered by the European Commission and the UK government as providing “adequate” protection to personal data, including the U.S., and, as a result, increases the scrutiny that clinical trial sites located in the EEA should apply to transfers of personal data from such sites to countries that are considered to lack an adequate level of data protection, such as the U.S. Such transfers of personal data outside of the EEA and UK are prohibited unless a valid GDPR transfer mechanism (for example, the European Commission approved Standard Contractual Clauses, or SCCs, and the UK International Data Transfer Agreement/Addendum, or UK IDTA) has been put in place. Where relying on the SCCs /UK IDTA for data transfers, we may also be required to carry out transfer impact assessments to assess whether the recipient is subject to local laws which allow public authority access to personal data. The international transfer obligations under the EEA/UK data protection regimes will require significant effort and cost, and may result in us needing to make strategic considerations around where EEA/UK personal data is transferred and which service providers we can utilize for the processing of EEA/UK personal data. Any inability to transfer personal data from the EEA and UK to the United States in compliance with data protection laws may impede our ability to conduct trials and may adversely affect our business and financial position. The GDPR also permits data protection authorities to require the destruction of improperly gathered or used personal information and or impose substantial fines for violations of the GDPR, which can be up to four percent of global revenues or €20 million (£17.5 million under the UK GDPR), whichever is greater and it also confers a private right of action on data subjects and consumer associations to lodge complaints with supervisory authorities, seek judicial remedies, and obtain compensation for damages resulting from violations of the GDPR. Although the UK is regarded as a third country under the EU GDPR, the European Commission has now issued a decision recognizing the UK as providing adequate protection under the EU GDPR, or Adequacy Decision, and, therefore, transfers of personal data originating in the EEA to the UK remain unrestricted. Although the EU GDPR and the UK GDPR currently impose substantially similar obligations, it is possible that over time the UK GDPR could become less aligned with the EU GDPR. For example, the UK Data (Use and Access) Act 2025, which supplements the UK GDPR, has recently come into force and introduces certain provisions that diverge from the EU GDPR. Following the entry into force of the UK Data (Use and Access) Act 2025, the European Commission renewed the EU–UK adequacy decision for another six years, meaning the UK’s data protection framework is still considered to provide “essentially equivalent” safeguards to the EU’s GDPR. While this renewal reduces immediate adequacy concerns, future divergence remains a possibility. In addition, EU member states have adopted national laws to supplement the EU GDPR, which may partially deviate from the EU GDPR, and the competent authorities in the EU Member States may interpret EU GDPR obligations slightly differently from country to country, such that we do not expect to operate in a uniform legal landscape in the EEA with respect to data protection regulations. Further divergence between the EU GDPR and UK GDPR would create additional regulatory challenges increasing legal risk, uncertainty, complexity and cost to the handling of European personal data and our privacy and data security compliance programs. This may require us to implement different compliance measures for the UK and EEA.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Similar legal requirements are either in place or are being proposed in the U.S.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are all aggressive in reviewing consumers’ privacy and data security protections. New laws also are being considered at both the state and federal levels. For example, the California Consumer Privacy Act—which went into effect on January 1, 2020 and which was recently amended by the California Privacy Rights Act —is creating similar risks and obligations as those created by GDPR. Though the Act does exempt certain information collected as part of a clinical trial subject to the Federal Policy for the Protection of Human Subjects, or the Common Rule, it does apply to other personal information that we may otherwise handle,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such as personal information collected in a business to business context and personal information collected from employees, applicants and retirees residing in California. Similar broad consumer privacy laws have already been passed in numerous states, and laws in Virginia, Colorado and Connecticut already have entered into force. In addition, bills for broad consumer privacy laws are being considered in numerous other states and at the federal level.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Compliance with the above requirements and any other data privacy and data security laws and regulations is a rigorous and time-intensive process and requires significant resources and an ongoing review of our technologies, systems and practices, as well as those of any third-party collaborators, service providers, contractors or consultants that process or transfer personal data.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use of new and evolving technologies, including artificial intelligence, presents risks and challenges that can impact our business including by posing cybersecurity and other risks to our confidential information, proprietary information, and personal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use artificial intelligence, or AI, in certain aspects of our business through the adoption of commercially available AI tools and platforms. We are not currently developing our own AI technologies, although we may do so in the future. Use of AI technology could pose cybersecurity, data privacy, IT, intellectual property, regulatory, legal, operational, competitive, reputational and other risks and challenges that could affect our business. Specifically, risks related to accuracy, bias, artificial intelligence hallucinations, discrimination, harmful content, misinformation, fraud, scams, targeted attacks (including model poisoning or data poisoning), surveillance, data leakage, inequality, environmental harms, and other harms may flow from our development, use, or deployment of AI technologies. If we enable or use solutions that draw controversy due to perceived or actual negative societal impact, we may experience brand or reputational harm, competitive harm or legal liability.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rapid evolution of AI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impacts. The use of certain AI technologies can also give rise to intellectual property risks, including by disclosing or otherwise compromising our confidential or proprietary intellectual property, or by undermining our ability to assert or defend ownership rights in intellectual property created with the assistance of AI tools.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growing number of legislators and regulators are adopting laws and regulations and have focused enforcement efforts on the adoption and use of AI technologies in compliance with ethical standards and societal expectations. These developments may increase our compliance burden and costs in connection with use of AI and lead to legal liability if we fail to meet evolving legal standards or if use of such technologies results in harms or other causes of action we did not predict. For example, Europe began implementing its EU Artificial Intelligence Act, or the AI Act, on August 1, 2024, with a significant part of the law scheduled to come into effect in August 2026. As currently enacted, the AI Act, which may be amended as part of the EU’s Digital Omnibus, imposes significant obligations on providers and deployers of AI systems, particularly those considered as “high risk,” and encourages providers and deployers of AI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U.S., the AI regulatory environment is complex and uncertain. Over the past year, states have advanced, and in some cases passed, dozens of laws focusing on AI governance and regulation, including on deployment of AI in healthcare settings. At the federal level,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In addition, various federal regulators have issued guidance and focused enforcement efforts on the use of AI in regulated sectors. The FDA, for example, issued draft guidance on the use of AI in regulatory decision-making for drug and biological products that centers on the context of use while establishing a credibility assessment framework for establishing and evaluating AI model outputs intended to support regulatory decision-making. If we develop or use AI systems governed by these laws or regulations, we will need to meet various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vendors may incorporate AI tools into their offerings, and the providers of these AI tools may not meet existing or rapidly evolving regulatory or industry standards, including with respect to privacy and data protection. Further, bad actors around the world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use sophisticated methods, including the use of AI,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 If we, our vendors, or our third-party partners experience an actual or perceived breach or privacy or security incident because of the use of AI tools, we may lose valuable intellectual property and confidential information and our reputation and the public perception of the effectiveness of our security measures could be harmed. Any of these outcomes could result in the loss of valuable property and information, and adversely impact our business.</w:t>
      </w:r>
    </w:p>
    <w:p>
      <w:pPr>
        <w:pStyle w:val="TextBody"/>
        <w:bidi w:val="0"/>
        <w:spacing w:before="240" w:after="283"/>
        <w:jc w:val="center"/>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Our commercial success depends on our ability to protect our intellectual property and proprietary technology.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commercial success depends in large part on our ability to obtain and maintain intellectual property rights protection through patents, trademarks and trade secrets in the U.S. and other countries with respect to our proprietary product candidates, avexitide, AMX0035, AMX0114, AMX0318, and any future proprietary product candidates. If we do not adequately protect our intellectual property rights, competitors may be able to erode, negate or preempt any competitive advantage we may have, which could harm our business and ability to sustain profitability. To protect our proprietary position, we have filed patent applications and may file other patent applications in the U.S. or abroad related to AMX0035, AMX0114, AMX0318 or any other current or future product candidates that are important to our business; we may also license or purchase patents or patent applications filed by others. With respect to protection of our intellectual property rights in avexitide, our acquisition of that product candidate from Eiger includes acquisition of all of Eiger’s owned and co-owned patents and applications directed to avexitide, as well as assuming Eiger’s licenses to patents and applications directed to avexitide and owned and co-owned by other entities. The patent application process is expensive and time-consuming. We may not be able to file and prosecute all necessary or desirable patent applications at a reasonable cost or in a timely manner.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the scope of the patent protection we obtain is not sufficiently broad, we may not be able to prevent others from developing and commercializing technology and products similar or identical to ours.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patents have, or that any of our pending owned patent applications that mature into issued patents will include claims with a scope sufficient to protect our proprietary therapeutics or otherwise provide any competitive advantage. Other parties have developed or may develop technologies that may be related or competitive with our approach, and may have filed or may file patent applications and may have been issued or may be issued patents with claims that overlap or conflict with our patent applications, either by claiming the same compounds, formulations or methods or by claiming subject matter that could dominate our patent position. In addition, the laws of foreign countries may not protect our rights to the same extent as the laws of the U.S. Furthermore, patents have a limited lifespan. In the U.S., the natural expiration of a patent is generally twenty years after it is filed.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patent portfolio may not provide us with adequate and continuing patent protection sufficient to exclude others from commercializing products similar to avexitide, AMX0035, AMX0114, AMX0318 or any other current or future product candidates. In the event that an alternative combination of AMX0035, or TURSO as a single drug product, is developed and approved for use in indications for which we may seek approval and falls outside the scope of our patent claims, the marketability and commercial success of AMX0035 could be materially harmed.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Even if they are unchallenged, our owned patents and pending patent applications, if issued, may not provide us with any meaningful protection or prevent competitors from designing around our patent claims to circumvent our patents by developing similar or alternative therapeutics in a non-infringing manner. For example, a third party may develop a competitive therapy that provides benefits similar to our product candidate but falls outside the scope of our patent protection or license rights. If the patent protection provided by the patent and patent applications we hold or pursue with respect to avexitide, AMX0035, AMX0114, AMX0318 or any other current or future product candidates is not sufficiently broad to impede such competition, our ability to successfully commercialize our product candidate could be negatively affected, which would harm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We, or any current or future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possible that defects of form in the preparation or filing of our patent or patent applications may exist, or may arise in the future, for example with respect to proper priority claims, inventorship, claim scope, or requests for patent term adjustments. If we or our partners, collaborators, or licensees whether current or future, fail to establish, maintain or protect such patents and other intellectual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property rights, such rights may be reduced or eliminated. If our partners, collaborators, or licensees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carries uncertainty. In addition, the determination of patent rights with respect to pharmaceutical compounds commonly involves complex legal and factual questions, which are dependent upon the current legal and intellectual property context, extant legal precedent and interpretations of the law by individuals. As a result, the issuance, scope, validity, enforceability and commercial value of our patent rights are characterized by uncertainty.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U.S., the first to invent was entitled to the patent. Publications of discoveries in the scientific literature often lag behind the actual discoveries, and patent applications in the U.S. and other jurisdictions are not published until 18 months after filing, or in some cases not at all. Therefore, we cannot be certain that we were the first to make the inventions claimed in our patent or pending patent applications, or that we were the first to file for patent protection of such inventions. If third parties have filed prior patent applications on inventions claimed in our patents or applications that were filed on or before March 15, 2013, an interference proceeding in the U.S. can be initiated by such third parties to determine who was the first to invent any of the subject matter covered by the patent claims of our applications. If third parties have filed such prior applications after March 15, 2013, a derivation proceeding in the U.S. can be initiated by such third parties to determine whether our invention was derived from theirs.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Moreover, because the issuance of a patent is not conclusive as to its inventorship, scope, validity or enforceability, our patents may be challenged in the courts or patent offices in the U.S. and abroad. Also, while we believe that we have disclosed all potentially relevant prior art relating to our patents and patent applications, there is no assurance that we have found all such prior art or disclosed it in every relevant jurisdiction. Publications of discoveries in the scientific literature often lag behind the actual discoveries, and patent applications in the U.S. and other jurisdictions are typically not published until 18 months after filing or, in some cases, not at all.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Therefore, we cannot know with certainty whether we were the first to make the inventions claimed in our patents or pending patent applications, or that we were the first to file for patent protection of such inventions. If such prior art exists, it may be used to invalidate a patent, or may prevent a patent from issuing from a pending patent application. For example, such patent filings may be subject to a third-party submission of prior art to the U.S. Patent and Trademark Office, or USPTO, or to other patent offices around the world. Alternately or additionally, we may become involved in post-grant review procedures, oppositions, derivation proceedings, ex parte reexaminations, inter partes review, supplemental examinations, or interference proceedings or challenges in district court, in the U.S. or in various foreign patent offices, including both national and regional, challenging patents or patent applications in which we have rights, including patents on which we rely to protect our business. An adverse determination in any such challenges may result in loss of the patent or in patent or patent application claims being narrowed, invalidated or held unenforceable, in whole or in part, or in denial of the patent application or loss or reduction in the scope of one or more claims of the patent or patent application, any of which could limit our ability to stop others from using or commercializing similar or identical technology and products, or limit the duration of the patent protection of our technology and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Pending and future patent applications may not result in patents being issued that protect our business, in whole or in part, or which effectively prevent others from commercializing competitive products. Competitors may also be able to design around our patents. Changes in either the patent laws or interpretation of the patent laws in the U.S. and other countries may diminish the value of our patents or narrow the scope of our patent protection. In addition, the laws of foreign countries may not protect our rights to the same extent or in the same manner as the laws of the U.S. For example, patent laws in various jurisdictions, including jurisdictions covering significant commercial markets, such as the European Patent Office, or EPO, China and Japan, restrict the patentability of methods of treatment of the human body more than U.S. law does. If these developments were to occur, they could have a material adverse effect on our ability to generate 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patent application process is subject to numerous risks and uncertainties, and there can be no assurance that we or any of our future development partners will be successful in protecting avexitide, AMX0035, AMX0114, AMX0318 or any other current or future product candidates by obtaining and defending patents. These risks and uncertainties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USPTO and various foreign governmental patent agencies require compliance with a number of procedural, documentary, fee payment and other provisions during the patent process. There are situations in which noncompliance, whether intentional or not, can result in abandonment or lapse of a patent or patent application, resulting in partial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complete loss of patent rights in the relevant jurisdiction. In such an event, competitors might be able to enter the market earlier than would otherwise have been the case;</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 applications may not result in any patents being issued;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that may be issued or in-licensed may be challenged, invalidated, modified, revoked, circumvented, found to be unenforceable or otherwise may not provide any competitive advantage;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many of whom have substantially greater resources and many of whom have made significant investments in competing technologies, may seek or may have already obtained patents that will limit, interfere with or eliminate our ability to make, use, and sell avexitide, AMX0035, AMX0114, or AMX0318;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significant pressure on the U.S. government and international governmental bodies to limit the scope of patent protection both inside and outside the U.S. for disease treatments that prove successful, as a matter of public policy regarding worldwide health concerns;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countries other than the U.S. may have patent laws less favorable to patentees than those upheld by U.S. courts, allowing foreign competitors a better opportunity to create, develop and market competing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countries other than the U.S. may, under certain circumstances, force us to grant a license under our patents to a competitor, thus allowing the competitor to compete with us in that jurisdiction or forcing us to lower the price of our drug in that jurisdiction.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Issued patents that we have or may obtain or license may not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Our competitors may also seek approval to market their own products similar to or otherwise competitive with our products. Alternatively, our competitors may seek to market generic versions of any approved products by submitting ANDAs to the FDA or seek to market competing products by submitting NDAs under 505(b)(2) of the FDCA in which they claim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do not infringe our patents. Thus, even if we have valid and enforceable patents, these patents still may not provide protection against competing products or processes sufficient to achieve our business objectives.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we rely on the protection of our trade secrets and proprietary, unpatented know-how. Although we have taken steps to protect our trade secrets and unpatented know-how, including entering into confidentiality agreements with third parties, and confidential information and invention assignment agreements with employees, consultants, collaborators, vendors, and advisors, we cannot provide any assurances that all such agreements have been duly executed, and third parties may still obtain this information or may come upon this or similar information independently. It is possible that technology relevant to our business will be independently developed by a person who is not a party to such a confidentiality or invention assignment agreement. We may not be able to prevent the unauthorized disclosure or use of our technical knowledge or trade secrets by consultants, collaborators, vendors, advisors, former employees and current employees. Furthermore, if the parties to our confidentiality agreements breach or violate the terms of these agreements, we may not have adequate remedies for any such breach or violation, and we could lose our trade secrets as a consequence of such breaches or violations. Our trade secrets could otherwise become known or be independently discovered by our competitors. Additionally, if the steps taken to maintain our trade secrets are deemed inadequate, we may have insufficient recourse against third parties for misappropriating our trade secrets. If any of these events occurs or if we otherwise lose protection for our trade secrets or proprietary know-how, our business may be harmed.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It is difficult and costly to protect our intellectual property and our proprietary technologies, and we may not be able to ensure their protection.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commercial success will depend in part on obtaining and maintaining patent protection and trade secret protection for our product candidates, avexitide, AMX0035, AMX0114, and AMX0318, as well as on successfully defending these patents against potential third-party challenges. Our ability to protect our product candidate from unauthorized making, using, selling, offering to sell or importing by third parties is dependent on the extent to which we have rights under valid and enforceable patents that cover these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patent positions of pharmaceutical, biotechnology and other life sciences companies can be highly uncertain and involve complex legal and factual questions for which important legal principles remain unresolved and have in recent years been the subject of much litigation. Changes in either the patent laws or in interpretations of patent laws in the U.S. and other countries may diminish the value of our intellectual property. Over the past decade, U.S. federal courts have increasingly invalidated pharmaceutical and biotechnology patents during litigation often based on changing interpretations of patent law. Further, the determination that a patent application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patent claim meets all of the requirements for patentability is a subjective determination based on the application of law and jurisprudence. The ultimate determination by the USPTO or by a court or other trier of fact in the U.S., or corresponding foreign national patent offices or courts, on whether a claim meets all requirements of patentability cannot be assured. Accordingly, we cannot predict the breadth of claims that may be allowed or enforced in our owned patents or patent applications.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cannot provide assurances that any of our patent applications will be found to be patentable, including over our own prior art publications or patent literature, or will issue as patents. Neither can we make assurances as to the scope of any claims that may issue from our pending and future patent applications nor to the outcome of any proceedings by any potential third parties that could challenge the patentability, validity or enforceability of our patents and patent applications in the U.S. or foreign jurisdictions. Any such challenge, if successful, could limit patent protection for our products and current or future product candidates and/or materially harm our business.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challenges during litigation, third parties can challenge the validity of our patents in the U.S. using post-grant review and inter partes review proceedings, which some third parties have been using to cause the cancellation of selected or all claims of issued patents of competitors. For a patent filed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will be successful in defending the patent, which may result in a loss of the challenged patent right to 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EU, third parties can challenge the validity of our patents by filing an Opposition before the EPO. An adverse determination by the Opposition Board can result in the narrowing or invalidation of a European patent. If any of our European patents are challenged by a third party in such an opposition proceeding, there is no guarantee that we will be successful in defending the patent, which may result in a loss of the challenged patent right to us.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degree of future protection for our proprietary rights is uncertain because legal means afford only limited protection and may not adequately protect our rights or permit us to gain or keep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generate sufficient data to support full patent applications that protect the entire breadth of developments in one or more of our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one or more of our pending patent applications will not become an issued patent or, if issued, that the patent(s) claims will have sufficient scope to protect our technology, provide us with commercially viable patent protection or provide us with any competitive advantages;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pending applications issue as patents, they may be challenged by third parties as invalid or unenforceable under U.S. or foreign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successfully commercialize avexitide, AMX0035, AMX0114 or AMX0318 before our relevant patents expire;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the first to make the inventions covered by each of our patents and pending patent applications;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or product candidates that are separately patentable.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to the extent that we are unable to obtain and maintain patent protection for avexitide, AMX0035, AMX0114, AMX0318 or any other current or future product candidates or in the event that such patent protection expires, it may no longer be cost-effective to extend our portfolio by pursuing additional development of a product or product candidate for follow-on indications.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are unable to protect the confidentiality of our trade secrets, the value of our technology could be materially adversely affected and our business would be harmed.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to patents, we also may rely on trade secrets to protect our proprietary product candidate, especially where we do not believe patent protection is appropriate or obtainable. Trade secrets are difficult to protect. We seek to protect our confidential proprietary information, in part, by confidentiality agreements and invention assignment agreements with our employees, consultants, scientific advisors, contractors and collaborators. These agreements are designed to protect our proprietary information. However,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cannot be certain that such agreements have been entered into with all relevant parties, and we cannot be certain that our trade secrets and other confidential proprietary information will not be disclosed or that competitors will not otherwise gain access to our trade secrets or independently develop substantially equivalent information and techniques. For example, our employees, consultants, contractors, outside scientific collaborators and other advisers may unintentionally or willfully disclose our information to competitors. Enforcing a claim that a third-party entity illegally obtained and is using any of our trade secrets is expensive and time-consuming, and the outcome is unpredictable, and we may not be able to obtain adequate remedies for such breaches. We also seek to preserve the integrity and confidentiality of our confidential proprietary information by maintaining physical security of our premises and physical and electronic security of our IT systems, but it is possible that these security measures could be breached. In addition, courts outside the U.S. are sometimes less willing to protect trade secrets. Moreover, our competitors may independently develop equivalent knowledge, methods and know-how. Notably, proprietary technology protected by a trade secret does not preempt the patenting of independently developed equivalent technology, even if such equivalent technology is invented subsequent to the technology protected by a trade secret. If any of our confidential proprietary information were to be lawfully obtained or independently developed by a competitor, we would have no right to prevent such competitor from using that technology or information to compete with us, which could harm our competitive position.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Patent terms and market exclusivities, if obtained, may be inadequate to protect our competitive position on our products for an adequate amount of time.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Patents have a limited lifespan. In the U.S., if all maintenance fees are timely paid, the natural expiration of a patent is generally 20 years from its earliest U.S. non-provisional filing date. The patent term of a U.S. patent may be lengthened by patent term adjustment, which compensates a patentee for administrative delays by the U.S. Patent and Trademark Office in granting a patent, or may be shortened if a patent is terminally disclaimed over an earlier-filed patent.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Various extensions may be available, but the life of a patent, and the protection it affords, is limited. Given the amount of time required for the development, testing and regulatory review of new product candidates, patents protecting such candidates might expire before or shortly after such candidates are commercialized.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U.S., the Drug Price Competition and Patent Term Restoration Act of 1984 permits a Patent Term Extension, or PTE, of up to five years beyond the normal expiration of the patent to compensate patent owners for loss of enforceable patent term due to the lengthy regulatory approval process. PTE is limited to the approved indication (or any additional indications approved during the period of extension). We anticipate applying for PTE in the U.S. Similar extensions may be available in other countries where we are prosecuting patents and we likewise anticipate applying for such extensions.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granting of such patent term extensions is not guaranteed and is subject to numerous requirements. We might not be granted an extension because of, for example, failure to apply within applicable periods, failure to apply prior to the expiration of relevant patents or failure to otherwise satisfy any of the numerous applicable requirements. Moreover, the applicable authorities, including the FDA and the USPTO in the U.S.,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 material adverse effect on our ability to generate revenue.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market exclusivities may be available for our product candidates and indications. If any product we develop does not receive five years of NCE exclusivity, the FDA may approve generic versions of such product three years after its date of approval, subject to the requirement that the ANDA applicant certifies to the invalidity or non-infringement of any patents listed for our products in the Orange Book. If an infringement suit is timely filed by the NDA or patent holder, the FDA cannot finally approve the ANDA for 30 months unless a court decision in favor of the generic manufacturer is issued earlier. Three-year exclusivity is given to a drug if it contains an active moiety that has previously been approved, and the NDA includes reports of one or more new clinical investigations, other than bioavailability or bioequivalence studies, that were conducted by or for the applicant and are determined by the FDA to be essential to the approval of the NDA. This form of data exclusivity is known as New Clinical Investigation, or NCI, exclusivity. If avexitide is approved for future uses and, if AMX0035 is approved for future uses, such as Wolfram syndrome, or if other current and future candidates, such as AMX0114 or AMX0318, are approved with only NCI exclusivity, generic manufacturers may file their ANDAs anytime following approval of avexitide, AMX0035, AMX0114, or AMX0318 and seek to launch their generic products following the expiration of the three year market exclusivity period, even if we still have patent protection for our product.</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in the U.S., the FDCA provides a period of seven years of Orphan Drug exclusivity for drugs that treat small patient populations less than 200,000 patients or for which there are more than 200,000 patients but there is no reasonable expectation that the cost of developing and making the drug for such disease or condition will be recovered from sales in the U.S. of such drug.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EU, innovative medicinal products (including both small molecules and biological medicinal products), sometimes referred to as new active substances, or NAS, qualify for eight years of data exclusivity upon marketing authorization and an additional two years of market exclusivity. The data exclusivity, if granted, prevents generic or biosimilar applicants from referencing the innovator’s preclinical and clinical trial data contained in the dossier of the reference product when applying for a generic or biosimilar marketing authorization, for a period of eight years from the date on which the reference product was first authorized in the EU. During the additional two-year period of market exclusivity, a generic or biosimilar marketing authorization can be submitted, and the innovator’s data may be referenced, but no generic or biosimilar product can be marketed until the expiration of the market exclusivity period. This 10-year market exclusivity period may be extended to 11 years if, during the first eight of those 10 years, the marketing authorization holder obtains an approval for one or more new therapeutic indications that bring significant clinical benefits compared with existing therapies. However, even if an innovative medicinal product gains the prescribed period of data exclusivity, another company may market another version of the product if such company obtained a marketing authorization based on an application with a complete and independent data package of pharmaceutical tests, preclinical tests and clinical trials. The current orphan medicines regime in the EU entitles an orphan medicine to a 10-year period of market exclusivity, which can be extended to 12 years if the sponsor complies with an agreed upon paediatric investigation plan. However, the European Commission introduced a legislative proposal in April 2023 that, if implemented, could reduce the current exclusivity period for certain orphan medicines.</w:t>
      </w:r>
    </w:p>
    <w:p>
      <w:pPr>
        <w:pStyle w:val="TextBody"/>
        <w:bidi w:val="0"/>
        <w:jc w:val="left"/>
        <w:rPr>
          <w:rFonts w:ascii="Times New Roman" w:hAnsi="Times New Roman"/>
          <w:color w:val="000000"/>
          <w:sz w:val="20"/>
        </w:rPr>
      </w:pPr>
      <w:r>
        <w:rPr>
          <w:rFonts w:ascii="Times New Roman" w:hAnsi="Times New Roman"/>
          <w:color w:val="000000"/>
          <w:sz w:val="20"/>
        </w:rPr>
        <w:t>Competition that avexitide, AMX0035, AMX0114, AMX0318 or any future products, if approved, may face from generic versions of such products could negatively impact our future revenue, profitability and cash flows and substantially limit our ability to obtain a return on our investments in those product candidates.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Changes in the interpretation of patent law in the U.S. and other jurisdictions could diminish the value of patents in general, thereby impairing our ability to protect our products.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U.S. Congress is responsible for passing laws establishing patentability standards. As with any laws, implementation is left to federal agencies and the federal courts based on their interpretations of the laws. Interpretation of patent standards can vary significantly within the U.S. Patent and Trademark Office, and across the various federal courts, including the Supreme Court. Recently, the Supreme Court has ruled on several patent cases, generally limiting the types of inventions that can be patented. Further, there are open questions regarding interpretation of patentability standards that the Supreme Court has yet to decisively address. Absent clear guidance from the Supreme Court, the USPTO has become increasingly conservative in its interpretation of patent laws and standards.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to increasing uncertainty with regard to our ability to obtain patents in the future, the legal landscape in the U.S. has created uncertainty with respect to the value of patents. Depending on any actions by Congress, and future decisions by the lower federal courts and the Supreme Court, along with interpretations by the USPTO, the laws and regulations governing patents could change in unpredictable ways and could weaken our ability to obtain new patents or to enforce our existing patents and patents that we might obtain in the future.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not be able to enforce our intellectual property rights throughout the world.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Filing, prosecuting, enforcing and defending patents on our product candidate in all countries throughout the world would be prohibitively expensive, and our intellectual property rights in some countries outside the U.S. can be less extensive than those in the U.S. The requirements for patentability may differ in certain countries, particularly in developing countries; thus, even in countries where we do pursue patent protection, there can be no assurance that any patents will issue with claims that cover our products.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Moreover, our ability to protect and enforce our intellectual property rights may be adversely affected by unforeseen changes in foreign intellectual property laws. Additionally, laws of some countries outside of the U.S. and the EU do not afford intellectual property protection to the same extent as the laws of the U.S. and the EU. Many companies have encountered significant problems in protecting and defending intellectual property rights in certain foreign jurisdictions.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U.S. and the EU or from selling or importing products made from our inventions in and into the U.S. or other jurisdictions. Competitors may use our technologies in jurisdictions where we have not obtained patent protection to develop and market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Proceedings to enforce our patent rights, whether or not successful, could result in substantial costs and divert our efforts and resources from other aspects of our business. Moreover, such proceedings could put our patents at risk of being invalidated or held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unenforceable, or interpreted narrowly, and our pending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our products, we cannot ensure that we will be able to initiate or maintain similar efforts in all jurisdictions in which we may wish to market our products, if approved. Accordingly, our efforts to protect our intellectual property rights in such countries may be inadequate.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Others may challenge inventorship or claim an ownership interest in our intellectual property which could expose it to litigation and have a significant adverse effect on its prospects.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third party or former employee or collaborator may claim an inventorship or ownership interest in one or more of our or our licensors’ patents or other proprietary or intellectual property rights. A third party could bring legal actions against us and seek monetary damages and/or enjoin clinical testing, manufacturing and marketing of the affected product or products. While we are presently unaware of any claims or assertions by third parties with respect to inventorship or ownership of our patents or other intellectual property, we cannot guarantee that a third party will not assert a claim or an interest in any of such patents or intellectual property. If we fail in defending any such claims, in addition to paying monetary damages, we may lose valuable intellectual property rights, such as exclusive ownership of, or right to use, intellectual property that is important to avexitide, AMX0035, AMX0114, AMX0318 or any other current or future product candidates. Further, regardless of the outcome, if we become involved in any litigation, it could consume a substantial portion of our resources, and cause a significant diversion of effort by our technical and management personnel.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are sued for infringing intellectual property rights of third parties, such litigation could be costly and time consuming and could prevent or delay us from developing or commercializing avexitide, AMX0035, AMX0114, AMX0318 or any other current or future product candidates.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commercial success depends, in part, on our ability to develop, manufacture, market and sell our product candidate without infringing the intellectual property and other proprietary rights of third parties. However, our research, development and commercialization activities may be subject to claims that we infringe or otherwise violate patents or other intellectual property rights owned or controlled by third parties. Third parties may have U.S. and non-U.S. issued patents and pending patent applications relating to compounds, methods of manufacturing compounds and/or methods of use for the treatment of the disease indications for which we are developing avexitide, AMX0035, AMX0114, AMX0318 or any other current or future product candidates. If any third-party patents or patent applications are found to cover avexitide, AMX0035, AMX0114, AMX0318 or any other current or future product candidates or their methods of use or manufacture, we may not be free to manufacture or market such product candidates as planned without obtaining a license, which may not be available on commercially reasonable terms, or at all.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is a substantial amount of intellectual property litigation in the biotechnology and pharmaceutical industries, and we may become party to, or threatened with, litigation or other adversarial proceedings regarding intellectual property rights with respect to our products candidates, including patent infringement lawsuits in the U.S. or abroad. There may be third-party patents or patent applications with claims to materials, formulations, methods of manufacture or methods for treatment related to the composition, use or manufacture of avexitide, AMX0035, AMX0114, AMX0318 or any other current or future product candidates. While we perform periodic searches for relevant patents and patent applications with respect to our proprietary drug candidates, avexitide, AMX0035, AMX0114, AMX0318, we cannot guarantee that any of our patent searches or analyses including, but not limited to, the identification of relevant patents, the scope of patent claims or the expiration of relevant patents are complete or thorough, nor can we be certain that we have identified each and every patent and pending application in the U.S. and abroad that is relevant to or necessary for the commercialization of avexitide, AMX0035, AMX0114, AMX0318 or any other current or future product candidates in any jurisdiction. Because patent applications can take many years to issue, there may be currently pending patent applications which may later result in issued patents that avexitide, AMX0035, AMX0114, AMX0318 or any other current or future product candidates may be accused of infringing. In addition, third parties may obtain patents in the future and claim that use of our technologies infringes upon these patents. Accordingly, third parties may assert infringement claims against us based on intellectual property rights that exist now or arise in the future.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or manufacture. The scope of protection afforded by a patent is subject to interpretation by the courts, and the interpretation is not always uniform. If we were sued for patent infringement, we would need to demonstrate that our product candidate, product or method either do not infringe the patent claims of the relevant patent or that the patent claims are invalid or unenforceable,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parties making claims against us may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able to sustain the costs of complex patent litigation more effectively than we can because they have substantially greater resources, and we may not have sufficient resources to bring these actions to a successful conclusion.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If we were required to obtain a license to continue to manufacture or market the affected product, we may be required to pay substantial royalties or grant cross-licenses to our patents. We cannot, however, assure you that any such license will be available on acceptable terms, if at all. Ultimately, we could be prevented from commercializing a product, or be forced to cease some aspect of our business operations as a result of claims of patent infringement or violation of other intellectual property rights. Further, the outcome of intellectual property litigation is subject to uncertainties that cannot be adequately quantified in advance, including the demeanor and credibility of witnesses and the identity of any adverse party. This is especially true in intellectual property cases that may turn on the testimony of experts as to technical facts upon which experts may reasonably disagree. Furthermore,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significant monetary damages, including treble damages and attorneys’ fees if we are found to have willfully infringed a patent. A finding of infringement could prevent us from commercializing avexitide, AMX0035, AMX0114, AMX0318 or any other current or future product candidates or force us to cease some of our business operations, which could harm our business. Claims that we have misappropriated the confidential information or trade secrets of third parties could have a similar negative impact on our business.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to claims by third parties asserting that our employees or we have misappropriated their intellectual property, or claiming ownership of what we regard as our own intellectual property.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Many of our current and former employees and our licensors’ current and former employees, including our senior management, were previously employed at universities or at other biotechnology or pharmaceutical companies, including some which may be competitors or potential competitors. Some of these employees, including members of our senior management, may have executed proprietary rights, non-disclosure and non-competition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sustain damages or lose key personnel, valuable intellectual property rights or the personnel’s work product, which could hamper or prevent commercialization of our technology, which in turn could materially affect our commercial development efforts.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trademarks and our business may be adversely affected.</w:t>
      </w:r>
    </w:p>
    <w:p>
      <w:pPr>
        <w:pStyle w:val="TextBody"/>
        <w:bidi w:val="0"/>
        <w:jc w:val="left"/>
        <w:rPr>
          <w:rFonts w:ascii="Times New Roman" w:hAnsi="Times New Roman"/>
          <w:color w:val="000000"/>
          <w:sz w:val="20"/>
        </w:rPr>
      </w:pPr>
      <w:r>
        <w:rPr>
          <w:rFonts w:ascii="Times New Roman" w:hAnsi="Times New Roman"/>
          <w:color w:val="000000"/>
          <w:sz w:val="20"/>
        </w:rPr>
        <w:t xml:space="preserve">Our trademarks or trade names may be challenged, infringed, circumvented or declared generic or determined to be infringing on other marks. We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applications and to seek to cancel registered trademarks. Opposition or cancellation proceedings may be filed against our trademarks, and our trademarks may not survive such proceedings. Moreover, any name we propose to use for our products in the U.S.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not infringe the existing rights of third parties and be acceptable to the FDA. If we are unable to establish name recognition based on our trademarks and trade names, we may not be able to compete effectively and our business may be adversely affected.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Intellectual property rights do not necessarily address all potential threats to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The following examples are illustrative: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competitive to avexitide, AMX0035, for example a TURSO monotherapy, AMX0114, AMX0318 or any of our future product candidates but that are not covered by the claims of the patents that we 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otherwise circumvent any of our technologies without infringing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any of our collaborators might not have been the first to invent the inventions covered by the patents or patent applications that we 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any of our collaborators might not have been the first to file patent applications covering certain of the patents or patent applications that we or they own or have obtained a license, or will own or will have obtained a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pending patent applications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own may not provide us with any competitive advantage, or may be held invalid or unenforceable,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ownership of our patents or patent applications may be challenged by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third parties or pending or future applications of third parties, if issued, may have an adverse effect on our business;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 enforcement is expensive and time-consuming and difficult to predict; thus we may not be able to enforce any of our patents against a competitor.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reliance on third parties for research and development and manufacturing requires us to share our trade secrets, which increases the possibility that our trade secrets will be misappropriated or disclosed, and confidentiality agreements with employees and third parties may not adequately prevent disclosure of trade secrets and protect other proprietary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consider proprietary trade secrets or confidential know-how and unpatented know-how to be important to our business. We may rely on trade secrets or confidential know-how to protect our technology, especially where patent protection is believed by us to be of limited value. We rely on third parties for research and development work, and expect to rely on third parties for future manufacturing of our proprietary product candidate, avexitide, AMX0035, AMX0114, AMX0318 and any other current or future product candidates. We also expect to collaborate with third parties on the development of avexitide, AMX0035, AMX0114, AMX0318 and any other current or future product candidates. As a result of the aforementioned collaborations, we must, at times, share trade secrets with our collaborators.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Trade secrets or confidential know-how can be difficult to maintain as confidential. To protect this type of information against disclosure or appropriation by competitors, our policy is to require our employees, consultants, contractors and advisors to enter into confidentiality agreements and, if applicable, material transfer agreements, consulting agreements or other similar agreements with us prior to beginning research or disclosing proprietary information. These agreements typically limit the rights of the third parties to use or disclose our confidential information, including our trade secrets. However, current or former employees, consultants, contractors and advisers may unintentionally or willfully disclose our confidential information to competitors, and confidentiality agreements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not provide an adequate remedy in the event of unauthorized disclosure of confidential information.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 Enforcing a claim that a third party obtained illegally and is using trade secrets or confidential know-how is expensive, time consuming and unpredictable. Moreover, the enforceability of confidentiality agreements may vary from jurisdiction to jurisdiction.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these agreements typically restrict the ability of our advisors, employees,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need to acquire or license intellectual property from third parties, and such licenses may not be available or may not be available on commercially reasonable terms.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third party may hold intellectual property, including patent rights that are important or necessary to the development of additional future product candidates. It may be necessary for us to use the patented or proprietary technology of one or more third parties to commercialize our current and future product candidates. If we are unable to acquire such intellectual property outright, or obtain licenses to such intellectual property from such third parties when needed or on commercially reasonable terms, our ability to commercialize additional future product candidates, if approved, would likely be delayed.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risks described elsewhere pertaining to our intellectual property rights also apply to the intellectual property rights that we license or may in-license, and any failure by us or our licensors to obtain, maintain, defend and enforce these rights could have an adverse effect on our business. In some cases we may not have control over the prosecution, maintenance or enforcement of the patents that we license, and may not have sufficient ability to provide input into the patent prosecution, maintenance and defense process with respect to such patents, and potential future licensors may fail to take the steps that we believe are necessary or desirable in order to obtain, maintain, defend and enforce the licensed patents.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Risks Related to Our Business Operations and Employee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are continuously evaluating and pursuing strategic transactions, and cannot guarantee that our previous or future strategic transactions, acquisitions or business combinations pursued to further our mission to improve our underlying business performance will, in fact, produce any benefits.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anticipate completing acquisitions and business combinations in the future, although there can be no guarantee that we will do so. For example, in July 2024, we completed the acquisition of substantially all of the rights, title and interests in, to and under those assets and interests used by Eiger in the development, manufacture and commercialization of avexitide. Our ability to complete future acquisitions and business combinations will depend, in part, on the availability of suitable candidates at acceptable prices, terms, and conditions; our ability to compete effectively for acquisition candidates; and the availability of capital and personnel to complete such acquisitions and run the acquired business effectively. Any acquisition or business combination could impair our business, reputation, operating results and financial condition. The benefits of an acquisition or business combination may take more time than expected to develop or integrate into our operations, and we cannot guarantee that previous or future acquisitions or business combinations will, in fact, produce any benefits. For example, we may not receive the anticipated benefits of the acquisition of avexitide for some time. Acquisitions and business combinations may involve a number of risks, the occurrence of which could adversely affect our business, reputation, operating results and financial condition,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management’s attention;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 to our existing operations and plans;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effectively manage our expanded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or delays in integrating and assimilating information and financial systems, operations, manufacturing processes and products of an acquired business or other business venture or in realizing projected efficiencies, growth prospects, cost savings, and synergies;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successfully integrate or develop a distribution channel for acquired product lines;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loss of key employees, customers, distributors, or sales representatives of the acquired businesses or adverse effects on existing business relationships with suppliers, customers, distributors, and sales representatives;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impact on overall profitability if our expanded operations do not achieve the financial results projected in our valuation models;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assumption of contracts, liabilities and other agreements associated with acquired assets, including royalty or other payments due under such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reallocation of amounts of capital from other operating initiatives and/or an increase in our leverage and debt service requirements to pay acquisition purchase prices or other business venture investment costs, which could in turn restrict our ability to access additional capital when needed or pursue other important elements of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infringement by acquired businesses or other business ventures of intellectual property rights of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violation of confidentiality, intellectual property and non-compete obligations or agreements by employees of an acquired business or lack of or inadequate formal intellectual property protection mechanisms in place at an acquired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inaccurate assessment of additional post-acquisition investments, undisclosed, contingent or other liabilities or problems, unanticipated costs associated with an acquisition, and an inability to recover or manage such liabilities and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incorrect estimates made in the accounting for acquisitions and incurrence of non-recurring charges;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write-off of significant amounts of goodwill or other assets as a result of deterioration in the performance of an acquired business or product line, adverse market conditions, changes in the competitive landscape, changes in laws or regulations that restrict activities of an acquired business or product line, or as a result of a variety of other circumstances.</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effective internal controls are necessary for us to provide reliable and accurate financial reports and to effectively prevent fraud. The integration of acquired businesses may result in our systems and controls becoming increasingly complex and more difficult to manage. We devote significant resources and time to comply with the internal control over financial reporting requirements of the Sarbanes-Oxley Act of 2002, or the Sarbanes-Oxley Act. However, we cannot be certain that these measures will ensure that we design, implement, and maintain adequate control over our financial processes and reporting in the future, especially in the context of acquisitions of other businesses, regardless of whether such acquired business was previously privately or publicly held. Any difficulties in the assimilation of acquired businesses into our control system could harm our operating results or cause us to fail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meet our financial reporting obligations. These risks, among others, could be heightened if we complete a large acquisition or other business combination or multiple transactions within a relatively short period of time.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Inadequate funding for the FDA, the SEC, the National Institutes of Health, or NIH, and other government agencies, including from government shutdowns, or other disruptions to these agencies’ staffing and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current U.S. administration is focused on reducing costs of the federal government generally, including significantly reducing the number of government employees at various federal agencies, including the FDA. Without appropriation of additional funding to federal agencies, our business operations related to our product development activities for the U.S. market could be impacted. The ability of the FDA to review and approve new products and NIH’s ability to conduct and partner with industry on important research can be affected by a variety of factors, including government budget and funding levels, the ability to hire and retain key personnel and accept the payment of user fees, layoffs,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including executive and congressional priorities, which is inherently fluid and unpredictable.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Disruptions at the FDA and other federal agencies, including substantial leadership departures, personnel cuts, and policy changes, may also slow the time necessary for new drugs to be reviewed and/or approved, which would harm our business. Changes and cuts in FDA staffing have been reported as resulting in delays in the FDA’s responsiveness or in its ability to review IND submissions or marketing applications, issue regulations or guidance, or implement or enforce regulatory requirements in a timely fashion or at all.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is also substantial uncertainty as to how regulatory reform measures being implemented by the current administration, and other political developments, such as government shutdowns or work stoppages, would impact other U.S. regulatory agencies, such as the FDA, SEC, the Internal Revenue Service, and USPTO, on which our operations rely. For example, over the last several years and most recently in October 2025, the U.S. government has shut down and certain regulatory agencies, such as the FDA and the SEC, have had to furlough critical employees and stop critical activities. In addition, the current U.S. administration has proposed substantial reductions in force at various government agencies that, if applied in a material way, could significantly reduce the FDA’s and other agencies’ capacities to perform their functions in a manner consistent with past practices. If a future U.S. federal government shutdown occurs, is prolonged, or if the FDA, NIH, SEC or the USPTO experiences significant decreases in funding or personnel, it could significantly impact the ability of the FDA to issue licenses needed for conduct of our clinical trials, the NIH to conduct research or provide grants, and the abilities of the FDA and the USPTO to timely review and process our regulatory submissions, which could have a material adverse effect on our business and our timelines. Further, future government shutdowns could impact our ability to access the public markets and obtain necessary capital in order to properly capitalize and continue our operations. Critical government functions could be affected, causing delays that impact the broader market. For instance, the Bureau of Labor Statistics and other agencies might pause the release of key economic indicators, which could increase market volatility.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have been evolving regulatory activities and policy changes, and there continues to be uncertainty as to the extent and manner in which the Trump administration will continue to modify or revise the requirements and policies of the FDA and other regulatory agencies with jurisdiction over our product candidates and any products for which we obtain approval. This uncertainty could continue to present new challenges and/or opportunities as we navigate development and approval of our product candidates. Additionally, the current U.S. government could continue to issue or promulgate executive orders, regulations, policies or guidance that adversely affect us or create a more challenging or costly environment to pursue the development of new therapeutic candidates. Also, state governments may seek to address or react to changes at the federal level with changes to their regulatory frameworks in a manner that could impact our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U.S. Congress, the Trump administration, or any new administration may make substantial changes to fiscal, tax, and other federal policies that may adversely affect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Since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depend heavily on our executive officers, principal consultants and others, and the loss of their services would materially harm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success depends, and will likely continue to depend, upon our ability to hire and retain the services of our current executive officers, principal consultants and others. We have entered into employment agreements with our current executive officers, but they may terminate their employment with us at any time. The loss of their services might impede the achievement of our research, development and commercialization objectives.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ability to compete in the biotechnology and pharmaceuticals industries depends upon our ability to attract and retain highly qualified managerial, scientific and medical personnel. Our industry has experienced a high rate of turnover of management personnel in recent years, which has also impacted our company. For example, in February 2024, our then Chief Human Resource Officer, Debra Canner, was replaced by Linda Arsenault as our current Chief Human Resource Officer. Replacing executive officers or other key employees may be difficult and may take an extended period of time because of the limited number of individuals in our industry with the breadth of skills and experience required to develop, gain regulatory approval of and commercialize products successfully.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avexitide, AMX0035, AMX0114, AMX0318 or any other current or future product candidates will be limited.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only have a limited number of employees to manage and operate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implemented a restructuring plan, or the Restructuring Plan, to reduce our workforce by 70% in April 2024. Our Restructuring Plan and our focus on research and the development of our product candidates requires us to optimize cash utilization and to manage and operate our business in a highly efficient manner. We cannot assure you that we will be able to hire and/or retain adequate staffing levels to develop our product candidates or to run our operations and/or to accomplish all of the objectives that we otherwise would seek to accomplish.</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employees, independent contractors, consultants, collaborators and CROs may engage in misconduct or other improper activities, including non-compliance with regulatory standards and requirements, which could cause significant liability for us and harm our reputation.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exposed to the risk that our employees, independent contractors, consultants, collaborators and CROs may engage in fraudulent conduct or other illegal activity. Misconduct by those parties could include intentional, reckless and/or negligent conduct or disclosure of unauthorized activities to us that violates: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FDA regulations or similar regulations of comparable non-U.S. regulatory authorities, including those laws requiring the reporting of true, complete and accurate information to such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standards;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and state healthcare fraud and abuse laws and regulations and similar laws and regulations established and enforced by comparable non-U.S. regulatory authorities;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laws that require the reporting of financial information or data accurately.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Activities subject to these laws also involve the improper marketing, use or misrepresentation of information obtained in the course of clinical trials, creating fraudulent data in our preclinical studies or clinical trials or illegal misappropriation of product materials,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civil, criminal and administrative penalties, damages, monetary fines, disgorgement, integrity oversight and reporting obligations, possible exclusion from participation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currently operating in a period of economic uncertainty, which has been significantly impacted by geopolitical instability, ongoing military conflicts, including the ongoing conflicts between Russia and Ukraine, the U.S. and Iran, and in the Middle East, the evolving regulatory activities and policy changes under the current U.S. government, events related thereto, and changes in inflation and interest rates, any of which could have a material adverse effect on our business,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U.S. and global markets have recently been experiencing volatility and disruption caused by economic uncertainty, including as a result of geopolitical instability, ongoing military conflicts, the evolving regulatory activities and economic policies under the current U.S. government, events related thereto, such as changes to candidates or political unrest or otherwise, and high inflation and interest rates. Although the length and impact of the ongoing military conflicts is highly unpredictable, the ongoing conflicts between Russia and Ukraine, the U.S. and Iran, and in the Middle East have led to market disruptions, including significant volatility in commodity prices, credit and capital markets, as well as supply chain interruptions, which contributed to record inflation globally. We are continuing to monitor these events and assess their potential impact on our business, including the impact on the supply chains we rely on for the manufacture of avexitide, AMX0035, AMX0114, AMX0318 or any other current or future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to date, our business has not been materially impacted by the events described above, it is impossible to predict the extent to which our operations will be impacted in the short and long term, or the ways in which such matters may impact our business.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have been, and may continue to be, significant changes to U.S. trade policies, sanctions, legislation, treaties and tariffs, including, but not limited to, trade policies and tariffs affecting products from outside of the U.S. The extent and duration of increased tariffs and the resulting impact on general economic conditions and on our business are uncertain and depend on various factors, such as negotiations between the U.S. and affected countries, the responses of other countries or regions, exemptions or exclusions that may be granted, availability and cost of alternative sources of supply, and demand in affected markets. There are also current geopolitical tensions with China that may affect our operations. For example, the recently enacted BIOSECURE Act, which, among other things, prohibits U.S. federal funding in connection with biotechnology equipment or services produced or provided by certain named Chinese “biotechnology companies of concern” and loans and grants to, and federal contracts with any entity that uses biotechnology equipment or services from one of these entities. Any additional executive action, legislative action similar to the BIOSECURE Act or potential sanctions with China could materially impact our current or future manufacturing partners and our agreements with them. Supply chain disruptions and delays as a result of any new legislative or executive actions, sanctions, tariff policies or trade restrictions could also negatively impact our cost of materials and production processes. If we are unable to obtain these chemical or biological intermediates in sufficient quantity and in a timely manner due to disruptions in the global supply chain caused by macroeconomic events and conditions, the development, testing and clinical trials of avexitide, AMX0035, AMX0114, AMX0318 or any other current or future product candidates may be delayed or infeasible, and regulatory approval or commercial launch of any resulting product may be delayed or not obtained, which could significantly harm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extent and duration of the events described above and resulting market disruptions are impossible to predict but could be substantial. Any such disruptions may also magnify the impact of other risks we face.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240" w:after="283"/>
        <w:jc w:val="left"/>
        <w:rPr>
          <w:rFonts w:ascii="Times New Roman" w:hAnsi="Times New Roman"/>
          <w:sz w:val="20"/>
        </w:rPr>
      </w:pPr>
      <w:r>
        <w:rPr>
          <w:rFonts w:ascii="Times New Roman" w:hAnsi="Times New Roman"/>
          <w:b/>
          <w:i/>
          <w:color w:val="000000"/>
          <w:sz w:val="20"/>
        </w:rPr>
        <w:t>The price of our stock may be volatile, and you could lose all or part of your investment.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trading price of our common stock may be highly volatile and could be subject to wide fluctuations in response to various factors, some of which are beyond our control, including limited trading volume. For example, from January 7, 2022, the first day that our stock traded on the Nasdaq Global Select Market, through June 30, 2026, our stock has traded within a range of a high price of $41.93 and a low price of $1.58 per share. In addition to the factors discussed in this “Risk Factors” section and elsewhere in this Quarterly Report, these factors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commencement, enrollment or results of our ongoing and future preclinical studies and clinical trials, or any future preclinical studies or clinical trials, we may conduct of avexitide, AMX0035, AMX0114, AMX0318 and any other current or future product candidates, or changes in the development status of our current and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additional regulatory submissions for avexitide, AMX0035, AMX0114, AMX0318 or any other current or future product candidates and any adverse development or perceived adverse development with respect to the applicable regulatory authority’s review of such submissions, including without limitation the FDA’s issuance of a “refusal to file” letter or a request for additional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results or delays in our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decision to initiate a clinical trial, not to initiate a clinical trial, or to terminate an existing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regulatory decisions, including failure to receive regulatory approvals for avexitide, AMX0035 and any other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products from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laws or regulations applicable to current or future product candidates, including but not limited to clinical trial requirements for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failure to obtain coverage and adequate reimbursement of current or future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on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changes to our relationship with any manufacturers, suppliers, licensors, future collaborators or other strategic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obtain adequate product supply for any approved drug product or inability to do so at acceptable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establish collaborations, if needed;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successfully commercialize avexitide, AMX0035 and any other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or departures of key scientific or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serious safety concerns related to the use of avexitide, AMX0035, AMX0114, AMX0318 and any other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introduction of new products or services offered by us or our competitors, or the release or publication of clinical trial results from competing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of significant acquisitions, strategic partnerships, joint ventures, or capital commitments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variations in quarterly operating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position and rate of expenditures;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meet the estimates and projections of the investment community or that we may otherwise provide to the public;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publication of research reports about us or our industry or positive or negative recommendations or withdrawal of research coverage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market valuations of similar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overall performance of the equity markets;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issuances of debt or equity securities;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our common stock by us or our stockholders in the future or the perception that such sales may occur;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trading volume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accounting practices;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ineffectiveness of our internal controls;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or other developments relating to proprietary rights, including patents, litigation matters, and our ability to obtain patent protection for our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lawsuits, including patent or stockholder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political, geographical, and economic conditions, including the impact of global health crises, historically high inflation, fluctuating interest rates, the ongoing conflicts in Ukraine and the Middle East and the legislative changes under the current U.S. government and accompanying regulatory activities and economic policies;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events or factors, many of which are beyond our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stock market in general, and 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pStyle w:val="TextBody"/>
        <w:bidi w:val="0"/>
        <w:spacing w:before="240" w:after="283"/>
        <w:jc w:val="left"/>
        <w:rPr>
          <w:rFonts w:ascii="Times New Roman" w:hAnsi="Times New Roman"/>
          <w:sz w:val="20"/>
        </w:rPr>
      </w:pPr>
      <w:r>
        <w:rPr>
          <w:rFonts w:ascii="Times New Roman" w:hAnsi="Times New Roman"/>
          <w:b/>
          <w:i/>
          <w:color w:val="000000"/>
          <w:sz w:val="20"/>
        </w:rPr>
        <w:t>Unfavorable macroeconomic conditions or market volatility resulting from national or global economic conditions, including those affecting the financial services industry, could adversely affect our business, financial condition or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Adverse macroeconomic conditions or market volatility resulting from national or global economic developments, political unrest, high inflation, fluctuating interest rates, international tariffs, changes in international trade relationships and military conflicts, such as the ongoing conflicts between Russia and Ukraine, the U.S. and Iran, and in the Middle East, significant changes in U.S. policies and regulatory environment and other factors, could materially and adversely affect our business operations. Sanctions imposed by the U.S. and other countries in response to such conflicts may also continue to adversely impact the financial markets and the global economy, and any economic countermeasures by the affected countries or others could exacerbate market and economic instability. For example, in July 2026, the U.S. imposed tariffs ranging from approximately 10%–12.5% on virtually all imports to the U.S. The U.S. has also imposed significantly higher tariffs applicable to certain imports in select industries, including certain pharmaceuticals. These actions have resulted in other countries imposing additional tariffs on imports from the U.S., and may result in more retaliatory tariffs. Current or future tariffs will result in increased research and development expenses, including with respect to increased costs associated with APIs, raw materials, laboratory equipment and research materials and components. While certain tariffs have, in the past, been suspended, modified, temporarily reduced or ruled in excess of the executive branch’s constitutional authority, we cannot predict the results of the U.S. government’s trade negotiations, current efforts to impose tariffs under alternative statutory authorities, or the outcome of any ongoing or future legal challenges to specific tariff policies. There can be no assurance that deterioration in credit and financial markets and confidence in economic conditions will not occur. For instance,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In addition, any deterioration in the macro-economy or financial services industry could lead to losses or defaults by our suppliers, which in turn, could have a material adverse effect on our current and/or planned business operations and our current or projected results of operations and financial condition. Also,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A severe or prolonged economic downturn or additional global financial crises could result in a variety of risks to our business, including weakened demand for any product candidates we develop or our ability to raise additional capital when needed on acceptable terms,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U.S. government appropriations have been affected by larger U.S. government budgetary issues and related legislation. Government spending levels are difficult to predict beyond the near term due to numerous factors, including the external threat environment, future government priorities and the state of government finances. Significant changes in government spending or changes in U.S. government priorities, policies and requirements could have a material adverse effect on our results of operations, financial condition or liquidity.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foregoing could harm our business and we cannot anticipate all of the ways in which the current economic climate and financial market conditions could adversely impact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no longer an emerging growth company and the reduced compliance requirements applicable to emerging growth companies no longer apply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no longer qualify as an emerging growth company as defined in the Jumpstart Our Business Startups Act of 2012, or the JOBS Act, and as such we no longer are entitled to rely on exemptions from certain compliance requirements that are applicable to companies that are emerging growth companies. These requirements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engaging an independent registered public accounting firm to provide an attestation report on our internal controls over financial reporting pursuant to Section 404(b) of the Sarbanes-Oxley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submitting certain executive compensation matters to stockholder advisory votes;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disclosing a compensation discussion and analysis, including disclosure regarding certain executive compensation related items such as the correlation between executive compensation and performance and comparisons of the chief executive officer’s compensation to median employee compensation.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no longer able to take advantage of cost savings associated with the JOBS Act. Furthermore, if the additional requirements applicable to non-emerging growth companies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We cannot predict or estimate the amount or timing of additional costs we may incur to respond to these requirements. Furthermore, if we are unable to satisfy our obligations as a non-emerging growth company, we could be subject to delisting of our common stock, fines, sanctions and other regulatory action and potentially civil litigation.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a smaller reporting company, and commencing December 31, 2025, we became a non-accelerated filer due to our public float at June 30, 2025. We cannot be certain if the reduced reporting requirements applicable to smaller reporting companies or non-accelerated filers will make our common stock less attractive to investors.</w:t>
      </w:r>
    </w:p>
    <w:p>
      <w:pPr>
        <w:pStyle w:val="TextBody"/>
        <w:bidi w:val="0"/>
        <w:jc w:val="left"/>
        <w:rPr>
          <w:rFonts w:ascii="Times New Roman" w:hAnsi="Times New Roman"/>
          <w:sz w:val="20"/>
        </w:rPr>
      </w:pPr>
      <w:r>
        <w:rPr>
          <w:rFonts w:ascii="Times New Roman" w:hAnsi="Times New Roman"/>
          <w:color w:val="000000"/>
          <w:sz w:val="20"/>
        </w:rPr>
        <w:t>Based on the market value of our common stock that was held by non-affiliates as of June 30, 2024, we became an accelerated filer, rather than a large accelerated filer, and we regained smaller reporting company status effective as of December 31, 2024 and have been able to avail ourselves of the reduced disclosure requirements. As a smaller reporting company, we are permitted and will rely on reduced disclosure requirements that are applicable to other public companies that are smaller reporting companies.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supplemental financial information or risk factors. Despite status effectiveness at December 31, 2024, due to requalification we have been able to rely on these reduced requirements since June 30, 2024. However, based on the market value of our common stock held by our non-affiliates as of June 30, 2026, we will no longer be a smaller reporting company as of January 1, 2027. See “</w:t>
      </w:r>
      <w:r>
        <w:rPr>
          <w:rFonts w:ascii="Times New Roman" w:hAnsi="Times New Roman"/>
          <w:i/>
          <w:color w:val="000000"/>
          <w:sz w:val="20"/>
        </w:rPr>
        <w:t>Beginning January 1, 2027, we will no longer qualify as a smaller reporting company, which will increase our costs and demands on management</w:t>
      </w:r>
      <w:r>
        <w:rPr>
          <w:rFonts w:ascii="Times New Roman" w:hAnsi="Times New Roman"/>
          <w:color w:val="000000"/>
          <w:sz w:val="20"/>
        </w:rPr>
        <w:t xml:space="preserve">” in this Risk Factors section for additional information.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based on the market value of our common stock that was held by non-affiliates as of June 30, 2025, we are a non-accelerated filer in fiscal year 2026. For as long as we continue to be a non-accelerated filer, we may choose to take advantage of not being required to have our independent registered public accounting firm audit our internal control over financial reporting under Section 404(b) of SOX. Pursuant to Section 404(a) of SOX, we are required to furnish a report by our management on our internal control over financial reporting. However, beginning with our 2025 Annual Report and while we remain a non-accelerated filer, we will not be required to include an attestation report issued by our independent registered public accounting firm on the effectiveness of our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cannot predict whether investors will find our common stock less attractive because we may rely on some or all of these exemptions. If some investors find our common stock less attractive as a result, there may be a less active trading market for our common stock and our stock price may be more volatile.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Beginning January 1, 2027, we will no longer qualify as a smaller reporting company, which will increase our costs and demands on management.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Based on the market value of our common stock held by our non-affiliates as of June 30, 2026, we will no longer be a smaller reporting company as of January 1, 2027. However, under the SEC’s transition rules, we will remain eligible to provide scaled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disclosure in accordance with exemptions available to smaller reporting companies until our Quarterly Report on Form 10-Q for the quarter ending March 31, 2027, and we will continue to be a “non-accelerated filer” through December 31, 2027. Due to this upcoming transition, we expect to devote significant time and effort to implement and comply with the additional standards, rules and regulations that will apply to us upon losing our smaller reporting company status. Compliance with the additional requirements will also increase our legal, accounting and financial compliance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Upon losing our smaller reporting company status, we will no longer be able to rely on the scaled disclosure requirements and other accommodations available to smaller reporting companies beginning with our Quarterly Report on Form 10-Q for the quarter ended March 31, 2027. This may require us to provide additional disclosures in our periodic reports, including more detailed executive compensation disclosures and additional financial statement information. The transition from smaller reporting company status will require significant resources, including additional personnel, enhanced systems and processes, and increased professional fees for accounting, legal, and compliance services. We will need to implement more comprehensive internal controls and procedures to meet the heightened requirements applicable to larger public companies. Due to the complexity and logistical difficulty of implementing the standards, rules and regulations that apply to non-smaller reporting companies, there is an increased risk that we may be found to be in non-compliance with such standards, rules and regulations or to have significant deficiencies or material weaknesses in our internal controls over financial reporting. Any failure to maintain effective disclosure controls and internal control over financial reporting could materially and adversely affect our business, results of operations and financial condition, and could cause a decline in the trading price of our common stock.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 significant portion of our total outstanding shares may be sold into the market, which could cause the market price of our common stock to decline significantly, even if our business is doing well.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These sales, or the perception in the market that the holders of a large number of shares intend to sell shares, could reduce the market price of our common stock. As of July 27, 2026, we had outstanding 111,423,048 shares of common stock, which may be resold in the public market immediately without restriction, unless held by our affiliates. </w:t>
      </w:r>
    </w:p>
    <w:p>
      <w:pPr>
        <w:pStyle w:val="TextBody"/>
        <w:bidi w:val="0"/>
        <w:spacing w:before="240" w:after="283"/>
        <w:jc w:val="left"/>
        <w:rPr>
          <w:rFonts w:ascii="Times New Roman" w:hAnsi="Times New Roman"/>
          <w:sz w:val="20"/>
        </w:rPr>
      </w:pPr>
      <w:r>
        <w:rPr>
          <w:rFonts w:ascii="Times New Roman" w:hAnsi="Times New Roman"/>
          <w:b/>
          <w:i/>
          <w:color w:val="000000"/>
          <w:sz w:val="20"/>
        </w:rPr>
        <w:t>We do not anticipate paying any cash dividends on our capital stock in the foreseeable future. Accordingly, stockholders must rely on capital appreciation, if any, for any return on their investment.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never declared nor paid cash dividends on our capital stock. We currently plan to retain all of our recent or any future earnings, if any, to finance the operation, development and growth of our business. In addition, the terms of any future debt or credit agreements may preclude us from paying dividends. As a result, capital appreciation, if any, of our common stock will be your sole source of gain for the foreseeable future.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Concentration of ownership of our common stock among our existing executive officers, directors and principal stockholders may prevent new investors from influencing significant corporate decisions.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executive officers and directors, combined with our stockholders who own more than 5% of our outstanding common stock, own a significant portion of our common stock. As a result, these stockholders acting together, could be able to significantly influence all matters submitted to our stockholders for approval, as well as our management and affairs. For example, these stockholders, if they choose to act together, could significantly influence the election of directors and approval of any merger, consolidation or sale of all or substantially all of our assets. This may prevent or discourage unsolicited acquisition proposals or offers for our common stock that our stockholders may feel are in their best interest.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Delaware law and provisions in our certificate of incorporation and amended and restated bylaws, or our bylaws, could make a merger, tender offer or proxy contest difficult, thereby depressing the trading price of our 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our board of directors to issue up to 10,000,000 shares of preferred stock, with any rights, preferences and privileges as they may designate (including the right to approve an acquisition or other change in our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the authorized number of directors may be changed only by resolution of the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our board of directors or any individual director may only be removed with cause and the affirmative vote of the holders of at least 66-2/3% of the voting power of all of our then-outstanding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all vacancies, including newly created directorships, may, except as otherwise required by law, be filled by the affirmative vote of a majority of directors then in office, even if less than a quorum;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divide our board of directors into three classes;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that any action to be taken by our stockholders must be effected at a duly called annual or special meeting of stockholders and not be taken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do not provide for cumulative voting rights (therefore allowing the holders of a majority of the shares of common stock entitled to vote in any election of directors to elect all of the directors standing for election, if they should so choose);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special meetings of our stockholders may be called only by the board of directors pursuant to a resolution adopted by a majority of the total number of authorized directors;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the Court of Chancery of the State of Delaware is the sole and exclusive forum for the following types of actions or proceedings under state, statutory and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certificate of incorporation or our bylaws; (iv) any action or proceeding to interpret, apply, enforce or determine the validity of our certificate of incorporation or our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provided these provisions of our certificate of incorporation and bylaws will not apply to suits brought to enforce a duty or liability created by the Exchange Act, or any other claim for which the federal courts have exclusive jurisdiction; and provided that, unless we consent in writing to the selection of an alternative forum, to the fullest extent permitted by law, the federal district courts of the U.S. shall be the exclusive forum for the resolution of any complaint asserting a cause of action arising under the Securities Act.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amendment of any of these provisions, with the exception of the ability of our board of directors to issue shares of preferred stock and designate any rights, preferences and privileges thereto, would require approval by the holders of at least 66-2/3% of our then-outstanding common stock.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These and other provisions in our certificate of incorporation,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fail to maintain proper and effective internal control over financial reporting, our ability to produce accurate and timely financial statements could be impaired, which could harm our operating results, investors' views of us and, as a result, the value of our 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Section 404, our management is required to assess and report annually on the effectiveness of our internal control over financial reporting and to identify any material weaknesses in our internal control over financial reporting. As a result of no longer qualifying as an emerging growth company as defined in the JOBS Act and becoming a large accelerated filer, we were also required to comply with, among other requirements, the auditor attestation requirements of Section 404(b). As we are a non-accelerated filer in fiscal year 2026, beginning with our 2025 Annual Report and while we remain a non-accelerated filer, we will not be required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include an attestation report issued by our independent registered public accounting firm on the effectiveness of our internal control over financial reporting, though we may choose to voluntarily provide such attestation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Preparing such attestation report and the cost of compliance with reporting requirements has and will continue to increase our expenses and require significant management time. Investors may find our common stock less attractive because of the additional compliance costs. If some investors find our common stock less attractive as a result, there may be a less active trading market for our common stock and our stock price may be more volatile.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rules governing the standards that must be met for management and our independent registered public accounting firm to assess our internal control over financial reporting are complex and require significant documentation, testing, and possible remediation. In connection with our and our independent registered public accounting firm’s evaluations of our internal control over financial reporting, we may need to continue upgrading systems, including information technology, implementing additional financial and management controls, reporting systems, and procedures, and hiring additional accounting and finance staff.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Any failure to implement required new or improved controls, or difficulties encountered in their implementation, could cause us to fail to meet our reporting obligations. In addition, any testing by us or our independent registered public accounting firm conducted in connection with Section 404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 Internal control deficiencies could also result in a restatement of our financial results in the future. We could become subject to stockholder or other third-party litigation, as well as investigations by the SEC, the Nasdaq Global Select Market, or other regulatory authorities, which could require additional financial and management resources and could result in fines, trading suspensions, payment of damages or other remedies.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bylaws provide that the Court of Chancery of the State of Delaware and the federal district courts of the U.S. will be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bylaws provide that, to the fullest extent permitted by law and subject to the court’s having personal jurisdiction over the indispensable parties named as defendants, the Court of Chancery of the State of Delaware is the exclusive forum for the following types of actions or proceedings under Delaware statutory or common law: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derivative action or proceeding brought on our behalf;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or proceeding asserting a breach of fiduciary duty owed by any of our current or former directors, officers or other employees to us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or proceeding asserting a claim against us or any of our current or former directors, officers or other employees arising out of or pursuant to any provision of the Delaware General Corporation Law, our amended and restated certificate of incorporation or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or proceeding to interpret, apply, enforce or determine the validity of our certificate of incorporation or our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or proceeding as to which the Delaware General Corporation Law confers jurisdiction to the Court of Chancery of the State of Delaware;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claim against us or any of our directors, officers or other employees that is governed by the internal affairs doctrine.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further provides that the federal district courts of the U.S.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These exclusive forum provisions may limit a stockholder’s ability to bring a claim in a judicial forum that it finds favorable for disputes with us or our directors, officers, or other employees, which may discourage lawsuits against us and our directors, officers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and other employees. If a court were to find either exclusive forum provision in our certificate of incorporation to be inapplicable or unenforceable in an action, we may incur further significant additional costs associated with resolving the dispute in other jurisdictions, all of which could seriously harm our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Future sales and issuances of our common stock or rights to purchase common stock, including pursuant to our equity incentive plans, could result in additional dilution of the percentage ownership of our stockholders and could cause our stock price to fall.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expect that we will need significant additional capital in the future to continue our planned operations, including conducting clinical trials, commercialization efforts if we are able to obtain marketing approval of any of avexitide, AMX0035, AMX0114, AMX0318 or any other current or future product candidates,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including shares of common stock sold in our public offerings.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our 2022 Stock Option and Incentive Plan, or the 2022 Plan, our management is authorized to grant stock options to our employees, directors and consultants. Additionally, the number of shares of our common stock reserved for issuance under our 2022 Plan will automatically increase on January 1 of each year, beginning on January 1, 2023 and continuing through and including January 1, 2032, by 5.0% of the total number of shares of our capital stock outstanding on December 31 of the preceding calendar year, or a lesser number of shares determined by our board of directors. In addition, pursuant to our 2022 Employee Stock Purchase Plan, the number of shares of our common stock reserved for issuance will automatically increase on January 1 of each calendar year, beginning on January 1, 2023 (through January 1, 2032), by the lesser of (i) 1.0% of the total number of shares of our common stock outstanding on the last day of the calendar month before the date of the automatic increase, and (ii) 1,210,000 shares; provided that before the date of any such increase, our board of directors may determine that such increase will be less than the amount set forth in clauses (i) and (ii). Unless our board of directors elects not to increase the number of shares available for future grant each year, our stockholders may experience additional dilution, which could cause our stock price to fall.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incur significant costs as a result of operating as a public company, and our management is required to devote substantial time to compliance initiatives.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public company, we incur significant and ongoing legal, accounting, and other expenses, particularly now that we are no longer an emerging growth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Moreover, since we ceased to be an emerging growth company, we may no longer take advantage of certain exemptions from various reporting requirements that are applicable to public companies. This increase in reporting requirements will further increase our compliance burden. We expect to continue to incur substantial costs to comply with the rules and regulations applicable to public companies.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Cyber-attacks, data breaches, or other failures in our telecommunications or IT systems, or those of our collaborators, CROs, third-party logistics providers, distributors or other contractors or consultants, could result in information theft, data corruption, significant disruption of our business operations, and reputational damage.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our collaborators, our CROs, third-party logistics providers, distributors and other contractors and consultants utilize IT systems and networks to process, transmit and store electronic information in connection with our business activities. As use of digital technologies has increased, cyber incidents, including third parties gaining access to employee accounts using stolen or inferred credentials, ransomware, computer malware, viruses, denial-of-service, social engineering, spamming or other means, insider threats, and deliberate attacks and attempts to gain unauthorized access to computer systems and networks, have generally been increasing in frequency and sophistication. Cyber-attacks also could include phishing attempts or e-mail fraud to, for example, cause payments or information to be transmitted to an unintended recipient. Like other companies in our industry, we and some of our third-party collaborators have in the past and may in the future experience cyber security attacks. These threats pose a risk to the security of our, our collaborators’, our CROs’, third-party logistics providers’, distributors’ and other contractors’ and consultants’ systems and networks, and the confidentiality, availability and integrity of our data. There can be no assurance that we will be successful in preventing cyber-attacks or successfully mitigating their effects. Similarly, there can be no assurance that our collaborators, CROs, third-party logistics providers, distributors and other contractors and consultants will be successful in protecting our clinical and other data that is stored on their systems or to which they have access. Any cyber-attack, data breach, security incident or destruction, misuse, or loss of data could require us to notify impacted stakeholders (including affected individuals, regulators, and investors), result in a violation of applicable U.S. and international privacy, data protection and other laws, and subject us to litigation and governmental investigations and proceedings by federal, state and local regulatory entities in the U.S. and by international regulatory entities, resulting in exposure to material civil and/or criminal liability. Further, our cybersecurity insurance, general liability insurance and corporate risk program may not cover all potential claims to which we are exposed and may not be adequate to indemnify us for all liability that maybe imposed and could have a material adverse effect on our business and prospects. For example, the loss of clinical trial data from completed, ongoing or future clinical trials for avexitide, AMX0035 or any of our future product candidates could result in delays in our development and regulatory approval efforts and significantly increase our costs to recover or reproduce the data. In addition, we may suffer reputational harm or face litigation or adverse regulatory action as a result of cyber-attacks or other data security breaches or incidents and may incur reputational harm and significant additional expense, including to implement further data protection or remedial measures, from fines and penalties or other liability, and from loss of existing and future business. Further, our contracts may not contain limitations of liability, and even where they do, there can be no assurance that limitations of liability in our contracts are sufficient to protect us from liabilities, damages, or claims related to our privacy and data security obligations.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ability to use net operating losses and research and development credits to offset future taxable income may be subject to certain limitations.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we had U.S. federal net operating loss, or NOL, carryforwards of $362.1 million that carry forward indefinitely. The amount of annual utilization of these NOL carryforwards may be limited based on provisions of the Tax Cuts and Jobs Act of 2017, or TCJA. As of December 31, 2025, we also had U.S. federal research and development tax credit carryforwards of $16.1 million and we have additionally recorded deferred tax assets for U.S. state NOL and research and development tax credit carryforwards of $22.9 million. These U.S. federal research and development tax credit and U.S. state carryforwards could begin to expire if unused in 2042 and 2035, respectively. Utilization of all NOL and research and development tax credit carryforwards is conditioned upon us generating U.S. federal and state taxable income.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Ownership changes occurred in the years ended December 31, 2016 and 2023. In general, under Sections 382 and 383 of the IRC, and corresponding provisions of state law, a corporation that undergoes an ownership change is subject to limitations on its ability to utilize its pre-change NOL or tax credit carryforwards to offset future taxable income. For these purposes, an ownership change generally occurs where the aggregate stock ownership of one or more stockholders or groups of stockholders who owns at least five percent of a corporation’s stock increases its ownership by more than 50 percentage points over its lowest ownership percentage within a specified testing period. Future changes in our stock ownership, many of which are outside of our control, could result in an ownership change under Sections 382 and 383 of the IRC. Our existing federal and state NOL and research and development tax credit carryforwards may be subject to limitations arising from these future ownership changes. Accordingly, we may not be able to utilize a material portion of these carryforwards.</w:t>
      </w:r>
    </w:p>
    <w:p>
      <w:pPr>
        <w:pStyle w:val="TextBody"/>
        <w:bidi w:val="0"/>
        <w:spacing w:before="240" w:after="283"/>
        <w:jc w:val="left"/>
        <w:rPr>
          <w:rFonts w:ascii="Times New Roman" w:hAnsi="Times New Roman"/>
          <w:sz w:val="20"/>
        </w:rPr>
      </w:pPr>
      <w:r>
        <w:rPr>
          <w:rFonts w:ascii="Times New Roman" w:hAnsi="Times New Roman"/>
          <w:b/>
          <w:i/>
          <w:color w:val="000000"/>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Although we do not currently have investments with any financial institution that has experienced such events, if any financial institution with which we have a relationship were to be placed into receivership, we may be unable to access such funds. In addition, if any parties with whom we conduct business are unable to access funds pursuant to instruments or lending arrangements with such a financial institution, such parties’ ability to pay their obligations to us or to enter into new commercial arrangements requiring additional payments to us could be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Inflation and fluctuations in interest rates have led to a decline in the trading value of previously issued government securities with interest rates below current market interest rates. Although the U.S. Department of Treasury, Federal Deposit Insurance Corporation, or FDIC, and Federal Reserve Board have announced a program to provide up to $25 billion of loans to financial institutions secured by certain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Additionally, there is no guarantee that the U.S. Department of Treasury, FDIC and Federal Reserve Board will provide access to uninsured funds in the event of the closure of other banks or financial institutions in the future, or that they would do so in a timely fashion.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Although we assess our banking relationships as we believe necessary or appropriate, our access to funding sources in amounts adequate to finance or capitalize our current and projected future business operations could be significantly impaired by factors that affect us, the financial institutions with which we have financial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are currently involved in securities class action litigation and could be subject to additional securities class action litigation in the future.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Such litigation could result in substantial costs and a diversion of management’s attention and resources, which could harm our business. For further information, see “</w:t>
      </w:r>
      <w:r>
        <w:rPr>
          <w:rFonts w:ascii="Times New Roman" w:hAnsi="Times New Roman"/>
          <w:i/>
          <w:color w:val="000000"/>
          <w:sz w:val="20"/>
        </w:rPr>
        <w:t>Item 1. - Legal Proceedings.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failure to meet Nasdaq’s continued listing requirements could result in a delisting of our 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we fail to satisfy the continued listing requirements of the Nasdaq Global Select Market,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minimum bid price requirement or prevent future non-compliance with the listing requirements of the Nasdaq Global Select Market.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securities analysts publish negative evaluations of our stock, the price of our stock could decline.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trading market for our common stock depends in part on the research and reports that industry or securities analysts publish about us or our business. If one or more of the analysts who may cover us issues an adverse opinion about our company, our stock price would likely decline. If one or more of these analysts ceases research coverage of us or fails to regularly publish reports on us, we could lose visibility in the financial markets, which in turn could cause our stock price or trading volume to decline.</w:t>
      </w:r>
    </w:p>
    <w:p>
      <w:pPr>
        <w:pStyle w:val="TextBody"/>
        <w:bidi w:val="0"/>
        <w:spacing w:before="240" w:after="283"/>
        <w:jc w:val="left"/>
        <w:rPr>
          <w:rFonts w:ascii="Times New Roman" w:hAnsi="Times New Roman"/>
          <w:b/>
          <w:color w:val="000000"/>
          <w:sz w:val="20"/>
        </w:rPr>
      </w:pPr>
      <w:bookmarkStart w:id="16" w:name="item_2_unregistered_sales_of_equity_secu"/>
      <w:bookmarkEnd w:id="16"/>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June 30, 2026, no officers or directors of the Company (as defined in Rule 16a-1(f) under the Exchange Act) adopted, modified or terminated a “Rule 10b5-1 trading arrangement” or a “non-Rule 10b5-1 trading arrangement,” as each term is defined in Item 408(c) of Regulation S-K of the Exchange Act, except as described below:</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Gina M. Mazzariello, our Chief Legal Officer and General Counsel, adopted</w:t>
      </w:r>
      <w:r>
        <w:rPr>
          <w:color w:val="000000"/>
        </w:rPr>
        <w:t xml:space="preserve"> </w:t>
      </w:r>
      <w:r>
        <w:rPr>
          <w:rFonts w:ascii="Times New Roman" w:hAnsi="Times New Roman"/>
          <w:color w:val="000000"/>
          <w:sz w:val="20"/>
        </w:rPr>
        <w:t>a new Rule 10b5-1 trading plan on April 9, 2026, which is scheduled to expire on December 31, 2026. The aggregate number of shares of our common stock authorized to be sold under this new arrangement is 55,000;</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James Frates, our Chief Financial Officer, adopted</w:t>
      </w:r>
      <w:r>
        <w:rPr>
          <w:color w:val="000000"/>
        </w:rPr>
        <w:t xml:space="preserve"> </w:t>
      </w:r>
      <w:r>
        <w:rPr>
          <w:rFonts w:ascii="Times New Roman" w:hAnsi="Times New Roman"/>
          <w:color w:val="000000"/>
          <w:sz w:val="20"/>
        </w:rPr>
        <w:t>a new Rule 10b5-1 trading plan on April 10, 2026, which is scheduled to expire on January 31, 2027. The aggregate number of shares of our common stock authorized to be sold under this new arrangement is 40,000;</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George Milne, a member of our board of directors, adopted</w:t>
      </w:r>
      <w:r>
        <w:rPr>
          <w:color w:val="000000"/>
        </w:rPr>
        <w:t xml:space="preserve"> </w:t>
      </w:r>
      <w:r>
        <w:rPr>
          <w:rFonts w:ascii="Times New Roman" w:hAnsi="Times New Roman"/>
          <w:color w:val="000000"/>
          <w:sz w:val="20"/>
        </w:rPr>
        <w:t>a new Rule 10b5-1 trading plan on April 28, 2026, which is scheduled to expire on December 31, 2026. The aggregate number of shares of our common stock authorized to be sold under this new arrangement is 100,000;</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Joshua Cohen, our Co-Chief Executive Officer and a member of our board of directors, adopted</w:t>
      </w:r>
      <w:r>
        <w:rPr>
          <w:color w:val="000000"/>
        </w:rPr>
        <w:t xml:space="preserve"> </w:t>
      </w:r>
      <w:r>
        <w:rPr>
          <w:rFonts w:ascii="Times New Roman" w:hAnsi="Times New Roman"/>
          <w:color w:val="000000"/>
          <w:sz w:val="20"/>
        </w:rPr>
        <w:t>a new Rule 10b5-1 trading arrangement on May 11, 2026, which is scheduled to expire on December 31, 2026. The aggregate number of shares of our common stock authorized to be sold under this new arrangement is 100,000;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Justin Klee, our Co-Chief Executive Officer and a member of our board of directors, adopted</w:t>
      </w:r>
      <w:r>
        <w:rPr>
          <w:color w:val="000000"/>
        </w:rPr>
        <w:t xml:space="preserve"> </w:t>
      </w:r>
      <w:r>
        <w:rPr>
          <w:rFonts w:ascii="Times New Roman" w:hAnsi="Times New Roman"/>
          <w:color w:val="000000"/>
          <w:sz w:val="20"/>
        </w:rPr>
        <w:t>a new Rule 10b5-1 trading arrangement on May 11, 2026, which is scheduled to expire on December 31, 2026. The aggregate number of shares of our common stock authorized to be sold under this new arrangement is 100,000.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8"/>
        <w:gridCol w:w="146"/>
        <w:gridCol w:w="9251"/>
      </w:tblGrid>
      <w:tr>
        <w:trPr/>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51" w:type="dxa"/>
            <w:tcBorders/>
            <w:vAlign w:val="center"/>
          </w:tcPr>
          <w:p>
            <w:pPr>
              <w:pStyle w:val="TableContents"/>
              <w:bidi w:val="0"/>
              <w:spacing w:before="0" w:after="283"/>
              <w:jc w:val="left"/>
              <w:rPr>
                <w:sz w:val="4"/>
                <w:szCs w:val="4"/>
              </w:rPr>
            </w:pPr>
            <w:r>
              <w:rPr>
                <w:sz w:val="4"/>
                <w:szCs w:val="4"/>
              </w:rPr>
            </w:r>
          </w:p>
        </w:tc>
      </w:tr>
      <w:tr>
        <w:trPr/>
        <w:tc>
          <w:tcPr>
            <w:tcW w:w="808"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Fourth Amended and Restated Certificate of Incorporation of Amylyx Pharmaceuticals, Inc. (Incorporated by reference to Exhibit 3.1 to the Registrant’s Current Report on Form 8-K filed with the Securities and Exchange Commission on January 11, 2022).</w:t>
              </w:r>
            </w:hyperlink>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Second Amended and Restated Bylaws of Amylyx Pharmaceuticals, Inc. (Incorporated by reference to Exhibit 3.2 to the Registrant’s Current Report on Form 8-K filed with the Securities and Exchange Commission on January 11, 2022).</w:t>
              </w:r>
            </w:hyperlink>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ml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mlx-ex31_2.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mlx-ex31_3.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ml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mlx-ex32_2.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mlx-ex32_3.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 and included in Exhibit 101).</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This certification will not be deemed “filed” for purposes of Section 18 of the Securities Exchange Act of 1934, as amended, or otherwise subject to the liability of that section. Such certification will not be deemed to be incorporated by reference into any filing under the Securities Act of 1933, as amended, except to the extent specifically incorporated by reference into such filing.</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502" w:type="dxa"/>
        <w:jc w:val="left"/>
        <w:tblInd w:w="0" w:type="dxa"/>
        <w:tblLayout w:type="fixed"/>
        <w:tblCellMar>
          <w:top w:w="28" w:type="dxa"/>
          <w:left w:w="28" w:type="dxa"/>
          <w:bottom w:w="28" w:type="dxa"/>
          <w:right w:w="28" w:type="dxa"/>
        </w:tblCellMar>
      </w:tblPr>
      <w:tblGrid>
        <w:gridCol w:w="1846"/>
        <w:gridCol w:w="146"/>
        <w:gridCol w:w="513"/>
        <w:gridCol w:w="2997"/>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997"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AMYLYX PHARMACEUTICALS,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99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Joshua B. Cohen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Joshua B. Cohen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Co-Chief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Justin B. Klee</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Justin B. Klee</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Co-Chief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M. Frates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James M. Frates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amlx-ex31_1.htm"/>
      <w:bookmarkStart w:id="23" w:name="ksamlxex31_1"/>
      <w:bookmarkEnd w:id="22"/>
      <w:bookmarkEnd w:id="23"/>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 Joshua B. Cohen,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Amylyx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4732" w:type="dxa"/>
        <w:jc w:val="left"/>
        <w:tblInd w:w="0" w:type="dxa"/>
        <w:tblLayout w:type="fixed"/>
        <w:tblCellMar>
          <w:top w:w="28" w:type="dxa"/>
          <w:left w:w="28" w:type="dxa"/>
          <w:bottom w:w="28" w:type="dxa"/>
          <w:right w:w="28" w:type="dxa"/>
        </w:tblCellMar>
      </w:tblPr>
      <w:tblGrid>
        <w:gridCol w:w="1846"/>
        <w:gridCol w:w="109"/>
        <w:gridCol w:w="406"/>
        <w:gridCol w:w="23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w:t>
            </w:r>
            <w:r>
              <w:rPr>
                <w:rFonts w:ascii="Times New Roman" w:hAnsi="Times New Roman"/>
                <w:b/>
                <w:color w:val="000000"/>
                <w:sz w:val="20"/>
              </w:rPr>
              <w:t>Joshua B. Cohen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Joshua B. Cohen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amlx-ex31_2.htm"/>
      <w:bookmarkStart w:id="25" w:name="ksamlxex31_2"/>
      <w:bookmarkEnd w:id="24"/>
      <w:bookmarkEnd w:id="25"/>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 Justin B. Klee,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Amylyx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4732" w:type="dxa"/>
        <w:jc w:val="left"/>
        <w:tblInd w:w="0" w:type="dxa"/>
        <w:tblLayout w:type="fixed"/>
        <w:tblCellMar>
          <w:top w:w="28" w:type="dxa"/>
          <w:left w:w="28" w:type="dxa"/>
          <w:bottom w:w="28" w:type="dxa"/>
          <w:right w:w="28" w:type="dxa"/>
        </w:tblCellMar>
      </w:tblPr>
      <w:tblGrid>
        <w:gridCol w:w="1846"/>
        <w:gridCol w:w="109"/>
        <w:gridCol w:w="406"/>
        <w:gridCol w:w="23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b/>
                <w:color w:val="000000"/>
                <w:sz w:val="20"/>
              </w:rPr>
              <w:t>Justin B. Klee</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Justin B. Klee</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amlx-ex31_3.htm"/>
      <w:bookmarkStart w:id="27" w:name="ksamlxex31_3"/>
      <w:bookmarkEnd w:id="26"/>
      <w:bookmarkEnd w:id="27"/>
      <w:r>
        <w:rPr>
          <w:rFonts w:ascii="Times New Roman" w:hAnsi="Times New Roman"/>
          <w:b/>
          <w:color w:val="000000"/>
          <w:sz w:val="20"/>
        </w:rPr>
        <w:t>Exhibit 31.3</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 James M. Frates,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Amylyx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4372" w:type="dxa"/>
        <w:jc w:val="left"/>
        <w:tblInd w:w="0" w:type="dxa"/>
        <w:tblLayout w:type="fixed"/>
        <w:tblCellMar>
          <w:top w:w="28" w:type="dxa"/>
          <w:left w:w="28" w:type="dxa"/>
          <w:bottom w:w="28" w:type="dxa"/>
          <w:right w:w="28" w:type="dxa"/>
        </w:tblCellMar>
      </w:tblPr>
      <w:tblGrid>
        <w:gridCol w:w="1846"/>
        <w:gridCol w:w="109"/>
        <w:gridCol w:w="406"/>
        <w:gridCol w:w="20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b/>
                <w:color w:val="000000"/>
                <w:sz w:val="20"/>
              </w:rPr>
              <w:t>James M. Frates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James M. Frates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amlx-ex32_1.htm"/>
      <w:bookmarkStart w:id="29" w:name="ksamlxex32_1"/>
      <w:bookmarkEnd w:id="28"/>
      <w:bookmarkEnd w:id="29"/>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Amylyx Pharmaceuticals,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tbl>
      <w:tblPr>
        <w:tblW w:w="4732" w:type="dxa"/>
        <w:jc w:val="left"/>
        <w:tblInd w:w="0" w:type="dxa"/>
        <w:tblLayout w:type="fixed"/>
        <w:tblCellMar>
          <w:top w:w="28" w:type="dxa"/>
          <w:left w:w="28" w:type="dxa"/>
          <w:bottom w:w="28" w:type="dxa"/>
          <w:right w:w="28" w:type="dxa"/>
        </w:tblCellMar>
      </w:tblPr>
      <w:tblGrid>
        <w:gridCol w:w="1846"/>
        <w:gridCol w:w="109"/>
        <w:gridCol w:w="406"/>
        <w:gridCol w:w="23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b/>
                <w:color w:val="000000"/>
                <w:sz w:val="20"/>
              </w:rPr>
              <w:t>Joshua B. Cohen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Joshua B. Cohen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amlx-ex32_2.htm"/>
      <w:bookmarkStart w:id="31" w:name="ksamlxex32_2"/>
      <w:bookmarkEnd w:id="30"/>
      <w:bookmarkEnd w:id="31"/>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Amylyx Pharmaceuticals,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tbl>
      <w:tblPr>
        <w:tblW w:w="4732" w:type="dxa"/>
        <w:jc w:val="left"/>
        <w:tblInd w:w="0" w:type="dxa"/>
        <w:tblLayout w:type="fixed"/>
        <w:tblCellMar>
          <w:top w:w="28" w:type="dxa"/>
          <w:left w:w="28" w:type="dxa"/>
          <w:bottom w:w="28" w:type="dxa"/>
          <w:right w:w="28" w:type="dxa"/>
        </w:tblCellMar>
      </w:tblPr>
      <w:tblGrid>
        <w:gridCol w:w="1846"/>
        <w:gridCol w:w="109"/>
        <w:gridCol w:w="406"/>
        <w:gridCol w:w="23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b/>
                <w:color w:val="000000"/>
                <w:sz w:val="20"/>
              </w:rPr>
              <w:t>Justin B. Klee</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Justin B. Klee</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2" w:name="amlx-ex32_3.htm"/>
      <w:bookmarkStart w:id="33" w:name="ksamlxex32_3"/>
      <w:bookmarkEnd w:id="32"/>
      <w:bookmarkEnd w:id="33"/>
      <w:r>
        <w:rPr>
          <w:rFonts w:ascii="Times New Roman" w:hAnsi="Times New Roman"/>
          <w:b/>
          <w:color w:val="000000"/>
          <w:sz w:val="20"/>
        </w:rPr>
        <w:t>Exhibit 32.3</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Amylyx Pharmaceuticals,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tbl>
      <w:tblPr>
        <w:tblW w:w="4372" w:type="dxa"/>
        <w:jc w:val="left"/>
        <w:tblInd w:w="0" w:type="dxa"/>
        <w:tblLayout w:type="fixed"/>
        <w:tblCellMar>
          <w:top w:w="28" w:type="dxa"/>
          <w:left w:w="28" w:type="dxa"/>
          <w:bottom w:w="28" w:type="dxa"/>
          <w:right w:w="28" w:type="dxa"/>
        </w:tblCellMar>
      </w:tblPr>
      <w:tblGrid>
        <w:gridCol w:w="1846"/>
        <w:gridCol w:w="109"/>
        <w:gridCol w:w="406"/>
        <w:gridCol w:w="20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b/>
                <w:color w:val="000000"/>
                <w:sz w:val="20"/>
              </w:rPr>
              <w:t>James M. Frates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James M. Frates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58551/000119312522006731/d273128dex31.htm" TargetMode="External"/><Relationship Id="rId3" Type="http://schemas.openxmlformats.org/officeDocument/2006/relationships/hyperlink" Target="https://www.sec.gov/Archives/edgar/data/1658551/000119312522006731/d273128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69323</Words>
  <Characters>390493</Characters>
  <CharactersWithSpaces>460101</CharactersWithSpaces>
  <Paragraphs>5716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