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227330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227330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AMYLYX PHARMACEUTICALS, INC.</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1067435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294005</wp:posOffset>
            </wp:positionV>
            <wp:extent cx="3454400" cy="805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44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 Cambridge Parkway, Suite 6W</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(the “Annual Meeting”) of Amylyx Pharmaceuticals, Inc., will be held online on June 4, 2026, at 9:00 a.m. Eastern Time. The Annual Meeting will be a virtual meeting, which will be conducted via live webcast. We are utilizing a virtual-only meeting format in order to leverage technology to enhance stockholder access to the Annual Meeting by enabling attendance and participation from any location. We believe that the virtual-only meeting format will give stockholders the opportunity to participate fully and equally, and without cost, and to exercise the same rights as if they had attended an in-person meeting. You may attend and participate in the meeting by visiting </w:t>
      </w:r>
      <w:r>
        <w:rPr>
          <w:rFonts w:ascii="Times New Roman" w:cs="Times New Roman" w:eastAsia="Times New Roman" w:hAnsi="Times New Roman"/>
          <w:sz w:val="18"/>
          <w:szCs w:val="18"/>
          <w:i w:val="1"/>
          <w:iCs w:val="1"/>
          <w:color w:val="auto"/>
        </w:rPr>
        <w:t>www.meetnow.global/M75QLG2</w:t>
      </w:r>
      <w:r>
        <w:rPr>
          <w:rFonts w:ascii="Times New Roman" w:cs="Times New Roman" w:eastAsia="Times New Roman" w:hAnsi="Times New Roman"/>
          <w:sz w:val="18"/>
          <w:szCs w:val="18"/>
          <w:color w:val="auto"/>
        </w:rPr>
        <w:t>, where you will be able to vote electronically and submit questions prior to and during the meeting. The purposes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are the following:</w:t>
      </w:r>
    </w:p>
    <w:p>
      <w:pPr>
        <w:spacing w:after="0" w:line="297" w:lineRule="exact"/>
        <w:rPr>
          <w:sz w:val="20"/>
          <w:szCs w:val="20"/>
          <w:color w:val="auto"/>
        </w:rPr>
      </w:pPr>
    </w:p>
    <w:p>
      <w:pPr>
        <w:ind w:left="1140" w:right="22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our board of directors, each to serve as a Class II director until the 2029 annual meeting of stockholders and until their successor has been duly elected and qualified, or until such director’s earlier death, resignation or removal;</w:t>
      </w:r>
    </w:p>
    <w:p>
      <w:pPr>
        <w:spacing w:after="0" w:line="53"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3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Only Amylyx Pharmaceuticals, Inc. stockholders of record at the close of business on April 10, 2026 (the “Record Date”) will be entitled to vote at the Annual Meeting and any adjournment or postponement thereof.</w:t>
      </w:r>
    </w:p>
    <w:p>
      <w:pPr>
        <w:spacing w:after="0" w:line="2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pleased to take advantage of the rules of the Securities and Exchange Commission (the “SEC”) that allow companies to furnish their proxy materials over the Internet. As a result, we are mailing to our stockholders a Notice of Internet Availability of Proxy Materials (“Notice of Availability”) instead of a paper copy of our proxy materials and our Annual Report to Stockholders for the fiscal year ended December 31, 2025 (the “2025 Annual Report”). We will mail the Notice of Availability on or about April 23, 2026; it contains instructions on how to access those documents and to cast your vote via the Internet. The Notice of Availability also contains instructions on how to request a paper copy of our proxy materials and our 2025 Annual Report. This process allows us to provide our stockholders with the information they need on a more timely basis, while reducing the environmental impact of our annual meeting and lowering the costs of printing and distributing our proxy materials.</w:t>
      </w:r>
    </w:p>
    <w:p>
      <w:pPr>
        <w:spacing w:after="0" w:line="29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attend the virtual meeting, it is important that your shares be represented. To ensure that your vote is recorded promptly, please vote as soon as possible, even if you plan to attend the Annual Meeting. If you are a stockholder of record, you may vote over the Internet, by telephone, or, if you request to receive a printed set of the proxy materials, you may vote by completing, signing, dating and mailing the accompanying proxy card in the return envelope. Submitting your vote via the Internet or by telephone or proxy card will not affect your right to vote online during the virtual meeting if you decide to attend the Annual Meeting. If your shares are held in street name (held for your account by a broker or other nominee), you will receive instructions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Joshua Cohen</w:t>
      </w:r>
    </w:p>
    <w:p>
      <w:pPr>
        <w:spacing w:after="0" w:line="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Joshua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Justin Klee</w:t>
      </w:r>
    </w:p>
    <w:p>
      <w:pPr>
        <w:spacing w:after="0" w:line="7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Justin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20" w:type="dxa"/>
            <w:vAlign w:val="bottom"/>
            <w:gridSpan w:val="18"/>
            <w:vMerge w:val="restart"/>
          </w:tcPr>
          <w:p>
            <w:pPr>
              <w:spacing w:after="0"/>
              <w:rPr>
                <w:sz w:val="20"/>
                <w:szCs w:val="20"/>
                <w:color w:val="auto"/>
              </w:rPr>
            </w:pPr>
            <w:r>
              <w:rPr>
                <w:rFonts w:ascii="Times New Roman" w:cs="Times New Roman" w:eastAsia="Times New Roman" w:hAnsi="Times New Roman"/>
                <w:sz w:val="19"/>
                <w:szCs w:val="19"/>
                <w:color w:val="0000FF"/>
              </w:rPr>
              <w:t>PROXY STATEMENT FOR THE 2026 ANNUAL MEETING OF STOCKHOLDERS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20" w:type="dxa"/>
            <w:vAlign w:val="bottom"/>
            <w:gridSpan w:val="18"/>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GENERAL INFORMATION</w:t>
            </w:r>
          </w:p>
        </w:tc>
        <w:tc>
          <w:tcPr>
            <w:tcW w:w="20" w:type="dxa"/>
            <w:vAlign w:val="bottom"/>
            <w:tcBorders>
              <w:top w:val="single" w:sz="8" w:color="0000FF"/>
              <w:bottom w:val="single" w:sz="8" w:color="0000EE"/>
            </w:tcBorders>
          </w:tcPr>
          <w:p>
            <w:pPr>
              <w:spacing w:after="0"/>
              <w:rPr>
                <w:sz w:val="18"/>
                <w:szCs w:val="18"/>
                <w:color w:val="auto"/>
              </w:rPr>
            </w:pPr>
          </w:p>
        </w:tc>
        <w:tc>
          <w:tcPr>
            <w:tcW w:w="4460" w:type="dxa"/>
            <w:vAlign w:val="bottom"/>
            <w:tcBorders>
              <w:top w:val="single" w:sz="8" w:color="0000FF"/>
            </w:tcBorders>
            <w:gridSpan w:val="9"/>
          </w:tcPr>
          <w:p>
            <w:pPr>
              <w:spacing w:after="0"/>
              <w:rPr>
                <w:sz w:val="18"/>
                <w:szCs w:val="18"/>
                <w:color w:val="auto"/>
              </w:rPr>
            </w:pPr>
          </w:p>
        </w:tc>
        <w:tc>
          <w:tcPr>
            <w:tcW w:w="3880" w:type="dxa"/>
            <w:vAlign w:val="bottom"/>
            <w:gridSpan w:val="4"/>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PROPOSAL NO. 1 – ELECTION OF DIRECTORS</w:t>
            </w:r>
          </w:p>
        </w:tc>
        <w:tc>
          <w:tcPr>
            <w:tcW w:w="20" w:type="dxa"/>
            <w:vAlign w:val="bottom"/>
            <w:tcBorders>
              <w:bottom w:val="single" w:sz="8" w:color="0000EE"/>
            </w:tcBorders>
          </w:tcPr>
          <w:p>
            <w:pPr>
              <w:spacing w:after="0"/>
              <w:rPr>
                <w:sz w:val="18"/>
                <w:szCs w:val="18"/>
                <w:color w:val="auto"/>
              </w:rPr>
            </w:pPr>
          </w:p>
        </w:tc>
        <w:tc>
          <w:tcPr>
            <w:tcW w:w="6700" w:type="dxa"/>
            <w:vAlign w:val="bottom"/>
            <w:gridSpan w:val="7"/>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0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NO. 2 – RATIFICATION OF THE SELECTION OF INDEPENDENT REGISTERED PUBLIC ACCOUNTING FIRM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PROPOSAL NO. 3 – NON-BINDING ADVISORY VOTE ON NAMED EXECUTIVE OFFICER COMPENSATION</w:t>
            </w: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192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810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040" w:type="dxa"/>
            <w:vAlign w:val="bottom"/>
            <w:gridSpan w:val="11"/>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40" w:type="dxa"/>
            <w:vAlign w:val="bottom"/>
            <w:tcBorders>
              <w:bottom w:val="single" w:sz="8" w:color="0000EE"/>
            </w:tcBorders>
          </w:tcPr>
          <w:p>
            <w:pPr>
              <w:spacing w:after="0"/>
              <w:rPr>
                <w:sz w:val="18"/>
                <w:szCs w:val="18"/>
                <w:color w:val="auto"/>
              </w:rPr>
            </w:pPr>
          </w:p>
        </w:tc>
        <w:tc>
          <w:tcPr>
            <w:tcW w:w="490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376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744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STOCKHOLDER PROPOSALS</w:t>
            </w:r>
          </w:p>
        </w:tc>
        <w:tc>
          <w:tcPr>
            <w:tcW w:w="810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ANNUAL REPORT ON FORM 10-K</w:t>
            </w:r>
          </w:p>
        </w:tc>
        <w:tc>
          <w:tcPr>
            <w:tcW w:w="774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1"/>
        </w:trPr>
        <w:tc>
          <w:tcPr>
            <w:tcW w:w="14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294005</wp:posOffset>
            </wp:positionV>
            <wp:extent cx="3454400" cy="805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544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2026 Annual Meeting of Amylyx Pharmaceuticals, Inc., which will be held online on June 4, 2026, at 9:00 a.m. Eastern Time. The Annual Meeting will be a virtual meeting, which will be conducted via live webcast. You may attend and participate in the meeting virtually by visiting </w:t>
      </w:r>
      <w:r>
        <w:rPr>
          <w:rFonts w:ascii="Times New Roman" w:cs="Times New Roman" w:eastAsia="Times New Roman" w:hAnsi="Times New Roman"/>
          <w:sz w:val="18"/>
          <w:szCs w:val="18"/>
          <w:i w:val="1"/>
          <w:iCs w:val="1"/>
          <w:color w:val="auto"/>
        </w:rPr>
        <w:t>www.meetnow.global/M75QLG2</w:t>
      </w:r>
      <w:r>
        <w:rPr>
          <w:rFonts w:ascii="Times New Roman" w:cs="Times New Roman" w:eastAsia="Times New Roman" w:hAnsi="Times New Roman"/>
          <w:sz w:val="18"/>
          <w:szCs w:val="18"/>
          <w:color w:val="auto"/>
        </w:rPr>
        <w:t>, where you will be able to vote electronically and submit questions prior to and during the meeting. The board of directors of Amylyx Pharmaceuticals, Inc. is using this proxy statement to solicit proxies for use at the Annual Meeting. In this proxy statement, the terms “Amylyx Pharmaceuticals,” “Amylyx,” the “Company,” “we,” “us,” and “our” refer to Amylyx Pharmaceuticals, Inc. The mailing address of our principal executive offices is Amylyx Pharmaceuticals, Inc., 55 Cambridge Parkway, Suite 6W, Cambridge, MA 02142.</w:t>
      </w:r>
    </w:p>
    <w:p>
      <w:pPr>
        <w:spacing w:after="0" w:line="7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Please see the “</w:t>
      </w:r>
      <w:r>
        <w:rPr>
          <w:rFonts w:ascii="Times New Roman" w:cs="Times New Roman" w:eastAsia="Times New Roman" w:hAnsi="Times New Roman"/>
          <w:sz w:val="18"/>
          <w:szCs w:val="18"/>
          <w:i w:val="1"/>
          <w:iCs w:val="1"/>
          <w:color w:val="auto"/>
        </w:rPr>
        <w:t>General Information</w:t>
      </w:r>
      <w:r>
        <w:rPr>
          <w:rFonts w:ascii="Times New Roman" w:cs="Times New Roman" w:eastAsia="Times New Roman" w:hAnsi="Times New Roman"/>
          <w:sz w:val="18"/>
          <w:szCs w:val="18"/>
          <w:color w:val="auto"/>
        </w:rPr>
        <w:t>” section of the proxy statement for more details regarding the logistics of the virtual Annual Meeting, including the ability of stockholders to submit questions during the Annual Meeting, and technical details and support related to accessing the virtual platform. There is no physical location for the Annual Meeting. You will not be able to attend the Annual Meeting in person.</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and our 2025 Annual Report are first being made available to stockholders on or about April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 for the Annual Meeting of Stockholders to be Held on June 4, 2026:</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This proxy statement, the accompanying proxy card or voting instruction card and our 2025 Annual Report are available to stockholders of record for viewing, printing and downloading at </w:t>
      </w:r>
      <w:r>
        <w:rPr>
          <w:rFonts w:ascii="Times New Roman" w:cs="Times New Roman" w:eastAsia="Times New Roman" w:hAnsi="Times New Roman"/>
          <w:sz w:val="18"/>
          <w:szCs w:val="18"/>
          <w:i w:val="1"/>
          <w:iCs w:val="1"/>
          <w:color w:val="auto"/>
        </w:rPr>
        <w:t>www.envisionreports.com/AMLX</w:t>
      </w:r>
      <w:r>
        <w:rPr>
          <w:rFonts w:ascii="Times New Roman" w:cs="Times New Roman" w:eastAsia="Times New Roman" w:hAnsi="Times New Roman"/>
          <w:sz w:val="18"/>
          <w:szCs w:val="18"/>
          <w:color w:val="auto"/>
        </w:rPr>
        <w:t xml:space="preserve">, and for beneficial owners at </w:t>
      </w:r>
      <w:r>
        <w:rPr>
          <w:rFonts w:ascii="Times New Roman" w:cs="Times New Roman" w:eastAsia="Times New Roman" w:hAnsi="Times New Roman"/>
          <w:sz w:val="18"/>
          <w:szCs w:val="18"/>
          <w:i w:val="1"/>
          <w:iCs w:val="1"/>
          <w:color w:val="auto"/>
        </w:rPr>
        <w:t>www.edocumentview.com/AMLX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2025 Annual Report, as filed with the SEC, except for exhibits, will be furnished without charge to any stockholder upon written request to Amylyx Pharmaceuticals, Inc., 55 Cambridge Parkway, Suite 6W, Cambridge, MA 02142, Attention: Corporate Secretary. This proxy statement and our 2025 Annual Report are also available on the SEC’s website at www.sec.gov.</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is providing these proxy materials to you in connection with a solicitation of proxies for use at the Annual Meeting. You are invited to virtually attend the Annual Meeting and we are asking you to vote on the proposals described in this proxy statement. All stockholders as of the Record Date will receive the proxy materials and have the ability to access them online at </w:t>
      </w:r>
      <w:r>
        <w:rPr>
          <w:rFonts w:ascii="Times New Roman" w:cs="Times New Roman" w:eastAsia="Times New Roman" w:hAnsi="Times New Roman"/>
          <w:sz w:val="18"/>
          <w:szCs w:val="18"/>
          <w:i w:val="1"/>
          <w:iCs w:val="1"/>
          <w:color w:val="auto"/>
        </w:rPr>
        <w:t>www.investorvote.com/AMLX</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online via live webcast on Thursday, June 4, 2026, at 9:00 a.m.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utilizing a virtual-only meeting format in order to leverage technology to enhance stockholder access to the Annual Meeting by enabling attendance and participation from any location. We believe that the virtual-only meeting format will give stockholders the opportunity to participate fully and equally, and without cost, and to exercise the same rights as if they had attended an in-person meeting. We have designed our virtual format to enhance, rather than constrain, stockholder access, participation and communication. For example, the virtual format allows stockholders to communicate with us in advance of, and during, the Annual Meeting so that they can ask questions of our board of directors or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Holders of our common stock at the close of business on the Record Date for the Annual Meeting are entitled to notice of and to vote at the Annual Meeting. Each stockholder is entitled to one vote for each share of our common stock held as of the Record Date for each matter addressed at the meeting. You are entitled to direct the voting of your shares that are held of record directly in your name and shares held for you as the beneficial owner through a stockbroker, bank, or other nominee. Stockholders do not have cumulative voting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and as a beneficial owner?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Computershare Trust Company, N.A. (“Computershare”), our transfer agent, then you are considered the stockholder of record with respect to those shares. As the stockholder of record, you have the right to grant your voting proxy directly to the individuals listed on the proxy card or to vote online during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your shares were held in a stock brokerage account or by a bank or other nominee on your behalf, then you are considered the beneficial owner of shares held in “street name.” As the beneficial owner, you have the right to direct your broker, bank, or other nominee on how to vote your shares by following the voting instructions you receive. Your broker, bank, or other nominee has only limited authority to vote your shares without your instructions. For more information, see “</w:t>
      </w:r>
      <w:r>
        <w:rPr>
          <w:rFonts w:ascii="Times New Roman" w:cs="Times New Roman" w:eastAsia="Times New Roman" w:hAnsi="Times New Roman"/>
          <w:sz w:val="18"/>
          <w:szCs w:val="18"/>
          <w:i w:val="1"/>
          <w:iCs w:val="1"/>
          <w:color w:val="auto"/>
        </w:rPr>
        <w:t>How is the vote counted?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will be a completely virtual meeting of stockholders, which will be conducted exclusively by webcast. You will not be able to attend the meeting in person. Participation in the Annual Meeting, with the right to vote and submit questions, is limited to stockholders (both stockholders of record and beneficial holders) as of the close of business on the Record Date. You will be able to attend the Annual Meeting online by visiting </w:t>
      </w:r>
      <w:r>
        <w:rPr>
          <w:rFonts w:ascii="Times New Roman" w:cs="Times New Roman" w:eastAsia="Times New Roman" w:hAnsi="Times New Roman"/>
          <w:sz w:val="18"/>
          <w:szCs w:val="18"/>
          <w:i w:val="1"/>
          <w:iCs w:val="1"/>
          <w:color w:val="auto"/>
        </w:rPr>
        <w:t>www.meetnow.global/M75QLG2</w:t>
      </w:r>
      <w:r>
        <w:rPr>
          <w:rFonts w:ascii="Times New Roman" w:cs="Times New Roman" w:eastAsia="Times New Roman" w:hAnsi="Times New Roman"/>
          <w:sz w:val="18"/>
          <w:szCs w:val="18"/>
          <w:color w:val="auto"/>
        </w:rPr>
        <w:t>. To vote your shares and submit questions at the Annual Meeting, you will need to review the information included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Notice of Availability, on your proxy card or on the instructions that accompanied your proxy materials.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and wish to vote during the Annual Meeting, you must register in advance using the instructions below.</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webcast of the Annual Meeting will begin at 9:00 a.m. Eastern Time on June 4, 2026. We encourage you to log into the Annual Meeting five to fifteen minutes prior to the start time to check in. Please follow the registration instructions as outlined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reliable WiFi connection wherever they intend to participate in the meeting. We encourage you to access the meeting prior to the start time. For further assistance, should you need it, you may call +1 (888) 724-2416.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register for the Annual Meeting virtually on the Internet?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(i.e., you hold your shares through our transfer agent, Computershare), you do not need to register to attend the Annual Meeting virtually on the Internet. Please follow the instructions on the notice or proxy card that you received.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and wish to vote during the Annual Meeting, you must register in advance.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Online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register online, you must submit proof of your proxy power (legal proxy) reflecting your Amylyx holdings along with your name and email address to Computershare. Requests for registration must be labeled as “Legal Proxy” and be received no later than 5:00 p.m. Eastern Time on June 3, 2026. You will receive a confirmation of your registration by email, after we receive your registration materials.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email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register by email, forward the email from your broker, or attach an image of your legal proxy, to legalproxy@computershare.com.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register by mail, please send a request to Computershare using the following address: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Computershare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Amylyx Pharmaceuticals, Inc. Legal Proxy</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the option to call in to the Annual Meeting instead of attending the live webcast?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Stockholders will not have the option to call in to the virtual meeting and listen by telephone. To participate in the Annual Meeting, stockholders must stream the Annual Meeting live via webcast.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can vote in one of the following ways:</w:t>
      </w:r>
    </w:p>
    <w:p>
      <w:pPr>
        <w:spacing w:after="0" w:line="113" w:lineRule="exact"/>
        <w:rPr>
          <w:sz w:val="20"/>
          <w:szCs w:val="20"/>
          <w:color w:val="auto"/>
        </w:rPr>
      </w:pPr>
    </w:p>
    <w:p>
      <w:pPr>
        <w:ind w:left="760" w:right="60"/>
        <w:spacing w:after="0" w:line="268" w:lineRule="auto"/>
        <w:rPr>
          <w:sz w:val="20"/>
          <w:szCs w:val="20"/>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www.investorvote.com/AMLX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complete an electronic proxy card. Please follow the instructions on the notice or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receive. You will be responsible for any Internet access charges you incur. If you vote online, you do not need to return a proxy card by mail. Votes by internet may be submitted prior to and during the meeting.</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Dial toll-free +1 (800) 652-VOTE (+1 (800) 652-8683) and follow the recorded instructions. Please follow the instructions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or proxy card that you receive. You will be responsible for any telephone charges you incur. If you vote by telephone, you do not need to return a proxy card by mail. Votes by telephone may be submitted prior to and during the meeting.</w:t>
      </w:r>
    </w:p>
    <w:p>
      <w:pPr>
        <w:spacing w:after="0" w:line="63" w:lineRule="exact"/>
        <w:rPr>
          <w:sz w:val="20"/>
          <w:szCs w:val="20"/>
          <w:color w:val="auto"/>
        </w:rPr>
      </w:pPr>
    </w:p>
    <w:p>
      <w:pPr>
        <w:ind w:left="760" w:right="20"/>
        <w:spacing w:after="0" w:line="262"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Complete, date, and sign your proxy card and return it promptly by mail in the envelope provided. The people named in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vote your shares in accordance with the instructions you provide. If you return a properly submitted proxy card, but do not give voting instructions on a particular matter, the people named in the proxy card will vote your shares in accordance with the recommendations of our board of directors. Votes by mail must be received by the close of business on Wednesday, June 3, 2026, Eastern Time, to be counted.</w:t>
      </w:r>
    </w:p>
    <w:p>
      <w:pPr>
        <w:spacing w:after="0" w:line="68" w:lineRule="exact"/>
        <w:rPr>
          <w:sz w:val="20"/>
          <w:szCs w:val="20"/>
          <w:color w:val="auto"/>
        </w:rPr>
      </w:pPr>
    </w:p>
    <w:p>
      <w:pPr>
        <w:jc w:val="both"/>
        <w:ind w:left="760" w:right="240"/>
        <w:spacing w:after="0" w:line="268" w:lineRule="auto"/>
        <w:rPr>
          <w:sz w:val="20"/>
          <w:szCs w:val="20"/>
          <w:color w:val="auto"/>
        </w:rPr>
      </w:pPr>
      <w:r>
        <w:rPr>
          <w:rFonts w:ascii="Times New Roman" w:cs="Times New Roman" w:eastAsia="Times New Roman" w:hAnsi="Times New Roman"/>
          <w:sz w:val="18"/>
          <w:szCs w:val="18"/>
          <w:b w:val="1"/>
          <w:bCs w:val="1"/>
          <w:color w:val="auto"/>
        </w:rPr>
        <w:t>During the meeting</w:t>
      </w:r>
      <w:r>
        <w:rPr>
          <w:rFonts w:ascii="Times New Roman" w:cs="Times New Roman" w:eastAsia="Times New Roman" w:hAnsi="Times New Roman"/>
          <w:sz w:val="18"/>
          <w:szCs w:val="18"/>
          <w:color w:val="auto"/>
        </w:rPr>
        <w:t>. If you plan to attend the virtual Annual Meeting, you may vote by following the instructions provided online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However, even if you plan to attend the virtual Annual Meeting, we encourage you to submit your vote ahead of time by one of the methods listed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are held in street name, follow the voting instructions you receive from your broker, bank, or other nominee.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submit a question for the Annual Meeting?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Stockholders as of the Record Date can submit questions in writing in advance of the meeting through </w:t>
      </w:r>
      <w:r>
        <w:rPr>
          <w:rFonts w:ascii="Times New Roman" w:cs="Times New Roman" w:eastAsia="Times New Roman" w:hAnsi="Times New Roman"/>
          <w:sz w:val="18"/>
          <w:szCs w:val="18"/>
          <w:i w:val="1"/>
          <w:iCs w:val="1"/>
          <w:color w:val="auto"/>
        </w:rPr>
        <w:t>www.meetnow.global/M75QLG2</w:t>
      </w:r>
      <w:r>
        <w:rPr>
          <w:rFonts w:ascii="Times New Roman" w:cs="Times New Roman" w:eastAsia="Times New Roman" w:hAnsi="Times New Roman"/>
          <w:sz w:val="18"/>
          <w:szCs w:val="18"/>
          <w:color w:val="auto"/>
        </w:rPr>
        <w:t>. Stockholders who attend the Annual Meeting and log in as a stockholder using the number on their proxy card will also have an opportunity to submit questions in writing during the meeting. We will try to answer as many submitted questions as time permits (whether submitted prior to or during the portion of the meeting when questions may be submitted). If we receive substantially similar questions, we will group such questions together and provide a single response to avoid repetition.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or change your proxy instructions at any time before your proxy is exercised at the Annual Meeting by:</w:t>
      </w:r>
    </w:p>
    <w:p>
      <w:pPr>
        <w:spacing w:after="0" w:line="54"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Corporate Secretary;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Annual Meeting and voting in person.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are a beneficial owner, you must contact the broker, bank, or other nominee holding your shares and follow their instructions to change your voting instructions.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our Second Amended and Restated Bylaws (our “bylaws”), any proposal other than an election of directors is decided by a majority of the votes properly cast for and against such proposal, except where a larger vote is required by law or by our Fourth Amended and Restated Certificate of Incorporation (our “certificate of incorporation”) or our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“routine” items, but will not be allowed to vote your shares with respect to “non-routine” items.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1 </w:t>
      </w:r>
      <w:r>
        <w:rPr>
          <w:rFonts w:ascii="Times New Roman" w:cs="Times New Roman" w:eastAsia="Times New Roman" w:hAnsi="Times New Roman"/>
          <w:sz w:val="18"/>
          <w:szCs w:val="18"/>
          <w:color w:val="auto"/>
        </w:rPr>
        <w:t>is a “non-routine” item. If you do not instruct your broker how to vote with respect to this proposal, your broker may not vote for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 and those votes will be counted as broker “non-votes.” To be elected, the directors nominated via Proposal No. 1 must receive a plurality of the votes properly cast on the election of directors, meaning that the two director nominees receiving the most votes will be elected as directors. Votes withheld and broker non-votes will have no effect on the election of directors.</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2 </w:t>
      </w:r>
      <w:r>
        <w:rPr>
          <w:rFonts w:ascii="Times New Roman" w:cs="Times New Roman" w:eastAsia="Times New Roman" w:hAnsi="Times New Roman"/>
          <w:sz w:val="18"/>
          <w:szCs w:val="18"/>
          <w:color w:val="auto"/>
        </w:rPr>
        <w:t>is considered to be a “routine” item, and your brokerage firm will be able to vote on this proposal even if it does not receive instructions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you. For Proposal No. 2, a majority of the votes properly cast on this proposal is required to ratify the appointment of Deloitte as the Company’s independent registered public accounting firm for the fiscal year ending December 31, 2026. Abstentions and broker non-votes, if any, will have no effect on the outcome of the vote on this proposal.</w:t>
      </w:r>
    </w:p>
    <w:p>
      <w:pPr>
        <w:spacing w:after="0" w:line="6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is a “non-routine” item. If you do not instruct your broker how to vote with respect to this proposal, your broker may not vote for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 and those votes will be counted as broker “non-votes.” For Proposal No. 3, a majority of the votes properly cast on this proposal is required to approve on a non-binding, advisory basis, the compensation of our named executive officers. Abstentions and broker non-votes will have no effect on the outcome of the vote on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majority of the shares of common stock outstanding and entitled to vote, in person (present or by remote communication) or by proxy, constitutes a quorum for the transaction of business at the Annual Meeting. As of the Record Date, there were a total of 111,085,857 shares of common stock outstanding, which means that 55,542,929 shares of common stock must be represented in person or by proxy at the Annual Meeting to have a quorum. If there is no quorum, a majority of the shares present at the Annual Meeting may adjourn the meeting to a later date. Withheld votes, abstentions and broker non-votes will be counted for purposes of determining whether we have a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proxy, how is it being solicited and who pays the cost?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Amylyx will bear the entire cost of this proxy solicitation, including the distribution of the proxy materials. Copies of solicitation materials will also be made available to brokers, banks, and other nominees to forward to beneficial owners. The original solicitation of proxies may be supplemented by solicitation by telephone, electronic communication, or other means by our directors, officers, employees, or agents. We may engage Alliance Advisors as we deem necessary to assist us in soliciting proxies in conjunction with the Annual Meeting, at an approximate cost of $15,000 plus reasonable out-of-pocket expenses for their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more than one Notice of the Annual Meeting?</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or voting instruction form for the Annual Meeting, your shares may be registered in more than one name or in more than one account. Please follow the voting instructions on each notice you received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In addition, final voting results will be published in a current report on Form 8-K (a “Form 8-K”) that we expect to file with the SEC within four business days after the Annual Meeting. If final voting results are not available to us at that time, we intend to file a Form 8-K to publish preliminary results and, within four business days after we know the final results, file an amendment to the Form 8-K to publish those results.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to include in our proxy statement</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Stockholders may present proper proposals to be included in our proxy statement and considered at the next annual meeting of stockholders by submitting their proposals in writing to our Corporate Secretary. For a stockholder proposal to be considered for inclusion in our proxy statement for our 2027 annual meeting of stockholders, our Corporate Secretary must receive the written proposal at our principal executive offices no later than December 24, 2026, unless the date of our 2027 annual meeting of stockholders is held more than 30 days before or after June 4, 2027, in which case the proposal must be received a reasonable time before we begin to print and send proxy materials for the 2027 annual meeting. In addition, stockholder proposals must comply with the applicable requirements of Rule 14a-8 under the Securities Exchange Act of 1934, as amended (the “Exchange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that will not be included in our proxy statement</w:t>
      </w:r>
    </w:p>
    <w:p>
      <w:pPr>
        <w:spacing w:after="0" w:line="1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bylaws contain an advance notice procedure for stockholders who wish to present a proposal before an annual meeting of stockholders but do not intend for the proposal to be included in our proxy statement. These matters may only be brought before the Annual Meeting by a stockholder of record entitled to vote at the Annual Meeting who has delivered timely written notice, containing the information specified in our bylaws, to our Corporate Secretary. To be timely for our 2027 annual meeting, our Corporate Secretary must receive the written notice at our principal executive offices no earlier than February 4, 2027, and no later than March 6, 2027. However, if we hold our 2027 annual meeting more than 30 days before or more than 60 days after June 4, 2027, then notice of a stockholder proposal that is not intended to be included in our proxy statement must be received no later than the close of business on the later of (a)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before our 2027 annual meeting and (b)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our 2027 annual meeting is first made.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nominations</w:t>
      </w:r>
    </w:p>
    <w:p>
      <w:pPr>
        <w:spacing w:after="0" w:line="11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You may propose director candidates for consideration by our Nominating and Corporate Governance Committee. For more information, see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Governance—Director Nomination Process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 directly nominate a director for election at an annual meeting of stockholders, you must provide the information required by our bylaws. In addition, stockholders who intend to solicit proxies in support of a shareholder nominee must also comply with the additional requirements of Rule 14a-19(b).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obtain additional copies of these materials or copies of other documents?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Complete copies of this proxy statement and the 2025 Annual Report are available to stockholders of record for viewing, printing and downloading at </w:t>
      </w:r>
      <w:r>
        <w:rPr>
          <w:rFonts w:ascii="Times New Roman" w:cs="Times New Roman" w:eastAsia="Times New Roman" w:hAnsi="Times New Roman"/>
          <w:sz w:val="18"/>
          <w:szCs w:val="18"/>
          <w:i w:val="1"/>
          <w:iCs w:val="1"/>
          <w:color w:val="auto"/>
        </w:rPr>
        <w:t>www.envisionreports.com/AMLX</w:t>
      </w:r>
      <w:r>
        <w:rPr>
          <w:rFonts w:ascii="Times New Roman" w:cs="Times New Roman" w:eastAsia="Times New Roman" w:hAnsi="Times New Roman"/>
          <w:sz w:val="18"/>
          <w:szCs w:val="18"/>
          <w:color w:val="auto"/>
        </w:rPr>
        <w:t>, and for beneficial owners at</w:t>
      </w:r>
      <w:r>
        <w:rPr>
          <w:rFonts w:ascii="Times New Roman" w:cs="Times New Roman" w:eastAsia="Times New Roman" w:hAnsi="Times New Roman"/>
          <w:sz w:val="18"/>
          <w:szCs w:val="18"/>
          <w:i w:val="1"/>
          <w:iCs w:val="1"/>
          <w:color w:val="auto"/>
        </w:rPr>
        <w:t xml:space="preserve"> www.edocumentview.com/AMLX</w:t>
      </w:r>
      <w:r>
        <w:rPr>
          <w:rFonts w:ascii="Times New Roman" w:cs="Times New Roman" w:eastAsia="Times New Roman" w:hAnsi="Times New Roman"/>
          <w:sz w:val="18"/>
          <w:szCs w:val="18"/>
          <w:color w:val="auto"/>
        </w:rPr>
        <w:t>. If you have lost your proxy card or after returning it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want to change your voting instructions, you may contact our Corporate Secretary or nominee, respectively. To receive another copy of the voting instruction form you received from your broker or other nominee, you must call that broker or nominee.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a copy of Amylyx’s bylaws?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are part of our public filings on the SEC’s website at www.sec.gov, including our most recent annual report on Form 10-K (the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contact our Corporate Secretary at our principal executive office for a copy of particular bylaw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contact the Corporate Secretary?</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You can reach our Corporate Secretary at the following address and phone number: Amylyx Pharmaceuticals, Inc., Attention: Corporate Secretary, 55 Cambridge Parkway, Suite 6W, Cambridge, Massachusetts 02142, (617) 682-0917.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more information about Amylyx?</w:t>
      </w:r>
    </w:p>
    <w:p>
      <w:pPr>
        <w:spacing w:after="0" w:line="119"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which is all publicly available on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may also find any document we file with the SEC (and more) on our website at </w:t>
      </w:r>
      <w:r>
        <w:rPr>
          <w:rFonts w:ascii="Times New Roman" w:cs="Times New Roman" w:eastAsia="Times New Roman" w:hAnsi="Times New Roman"/>
          <w:sz w:val="18"/>
          <w:szCs w:val="18"/>
          <w:i w:val="1"/>
          <w:iCs w:val="1"/>
          <w:color w:val="auto"/>
        </w:rPr>
        <w:t>www.amylyx.com</w:t>
      </w:r>
      <w:r>
        <w:rPr>
          <w:rFonts w:ascii="Times New Roman" w:cs="Times New Roman" w:eastAsia="Times New Roman" w:hAnsi="Times New Roman"/>
          <w:sz w:val="18"/>
          <w:szCs w:val="18"/>
          <w:color w:val="auto"/>
        </w:rPr>
        <w:t xml:space="preserve"> under the “Investors” heading. Information contained on, or that can be accessed through, our website is not intended to be incorporated by reference into this proxy statement.</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You should rely on the information contained in this document to vote your shares at the Annual Meeting. We have not authorized anyone to provide you with information that is different from what is contained in this document. This document is dated April 23, 2026. You should not assume that the information contained in this document is accurate as of any later date, and the mailing of this document to stockholders at any time after that date does not suggest otherwise. This proxy statement does not constitute a solicitation of a proxy in any jurisdiction where, or to or from any person to whom, it is unlawful to make such proxy solicitations.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DIRECTORS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certificate of incorporation, our board of directors is divided into three classes, Class I, Class II and Class III, with members of each class serving staggered three-year terms. The terms of the Class II directors are scheduled to expire at the upcoming Annual Meeting.</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Based on the recommendation of the nominating and governance committee, our board of directors has nominated George Mclean Milne Jr., Ph.D. and Paul Fonteyne for re-election as Class II directors at the Annual Meeting. The nominees are presently Class II directors, and each has indicated a willingness to continue to serve as a Class II director, if elected.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nominees for Class II directors, and their ages as of April 10,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38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Positions and Offices Held with Amylyx</w:t>
            </w:r>
          </w:p>
        </w:tc>
        <w:tc>
          <w:tcPr>
            <w:tcW w:w="160" w:type="dxa"/>
            <w:vAlign w:val="bottom"/>
          </w:tcPr>
          <w:p>
            <w:pPr>
              <w:spacing w:after="0"/>
              <w:rPr>
                <w:sz w:val="13"/>
                <w:szCs w:val="13"/>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3"/>
                <w:szCs w:val="13"/>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2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George Mclean Milne Jr., Ph.D.</w:t>
            </w:r>
          </w:p>
        </w:tc>
        <w:tc>
          <w:tcPr>
            <w:tcW w:w="3980" w:type="dxa"/>
            <w:vAlign w:val="bottom"/>
            <w:gridSpan w:val="2"/>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Chair of the Board of Directors</w:t>
            </w:r>
          </w:p>
        </w:tc>
        <w:tc>
          <w:tcPr>
            <w:tcW w:w="1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8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Paul Fonteyne</w:t>
            </w: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 Mclean Milne Jr., Ph.D. </w:t>
      </w:r>
      <w:r>
        <w:rPr>
          <w:rFonts w:ascii="Times New Roman" w:cs="Times New Roman" w:eastAsia="Times New Roman" w:hAnsi="Times New Roman"/>
          <w:sz w:val="18"/>
          <w:szCs w:val="18"/>
          <w:color w:val="auto"/>
        </w:rPr>
        <w:t>has served on our board of directors since 2015 and as chair of our board since December 2021. Dr. Milne has over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pharmaceutical research and product development, including over 20 years of experience as a board member and lead director of multiple biopharmaceutical companies. He retired from Pfizer, Inc. (NYSE: PFE) (“Pfizer”) in 2002 where he served as Executive Vice President of Global Research and Development and President, Worldwide Strategic and Operations Management. He joined Pfizer in 1970 and held a variety of positions conducting both chemistry and pharmacology research. Dr. Milne became director of the department of immunology and infectious diseases at Pfizer in 1981, was its executive director from 1984 to 1985, and was Vice President of research and development from 1985 to 1988. He was appointed Senior Vice President in 1988. In 1993, he was appointed President of Pfizer Central Research and a Senior Vice President of Pfizer with global responsibility for human and veterinary medicine research and development. Dr. Milne has served on the board of directors of Gasparilla Island Bridge Authority since 2023, Gaylord Specialty Healthcare since 2016, and Sea Research Foundation since 1995. Dr. Milne has also previously served on multiple corporate boards of directors, including Aurinia Pharmaceuticals Inc. (Nasdaq: AUPH), a biotechnology company from 2017 until 2023, Charles River Laboratories International, Inc. (NYSE: CRL), a laboratory services company from 2002 until 2022, BioStorage Technologies, Inc. from 2006 until 2016, MedImmune, Inc., a biotechnology company, and Mettler-Toledo, Inc., an instrument manufacturing company, among others. Dr. Milne has a B.S. in Chemistry from Yale University and a Ph.D. in Organic Chemistry from the Massachusetts Institute of Technology. We believe that Dr. Milne is qualified to serve on our board of directors because of his experience, qualifications, attributes and skills, including his extensive experience in the pharmaceutical industry, as well as his service on the boards of directors of various organizations and companies.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Fonteyne </w:t>
      </w:r>
      <w:r>
        <w:rPr>
          <w:rFonts w:ascii="Times New Roman" w:cs="Times New Roman" w:eastAsia="Times New Roman" w:hAnsi="Times New Roman"/>
          <w:sz w:val="18"/>
          <w:szCs w:val="18"/>
          <w:color w:val="auto"/>
        </w:rPr>
        <w:t>has served as a member of our board of directors since March 2021. Mr. Fonteyne is the retired chair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Boehringer-Ingelheim, USA (“BI”), a subsidiary of Boehringer Ingelheim International GmbH (“Boehringer”), a global pharmaceutical company. He was with BI or BI subsidiaries from 2003 to December 2018 and made substantial contributions to BI. Prior to 2003, Mr. Fonteyne served in leadership positions at Merck and Co. Inc. (NYSE: MRK) (“Merck”) as well as Abbott Laboratories. He has served on the boards of directors of Apnimed Pharmaceuticals, a clinical-stage pharmaceutical company, since October 2023, Apellis Pharmaceuticals, a biotechnology company, since April 2020, Corium, LLC, a private commercial-stage biopharmaceutical company, from 2024 until the end of 2025, DalCor, Inc., a pharmaceutical company, since 2019, and Ypsomed AG, a biotechnology company, since 2018. Mr. Fonteyne also served as a member of the board of directors of Gelesis Holdings, Inc., a biotechnology company, from April 2018 until its voluntary petition for liquidation in 2023; Covetrus Inc., an animal health company, from May 2021 until its merger with Corgi Bidco, Inc. in October 2022, ResTORbio Inc., a biotechnology company, from December 2017 until its reverse merger with Adicet Bio, Inc. in September 2020, as well as member of the board of directors of AMAG Pharmaceuticals, Inc. from November 2019 until its sale to Covis Group S.à.r.l. in November 2020. Mr. Fonteyne has also served on the board of the Pharmaceutical Research and Manufacturers of America, chaired the National Pharmaceutical Council and is actively participating as a founder in biopharma spinouts from Yale University in the fields of Alzheimer’s disease and fibrotic and inflammatory diseases. Mr. Fonteyne received his M.B.A. from Carnegie-Mellon University and his M.S. in Chemical Engineering from the Polytechnic School at the University of Brussels. We believe Mr. Fonteyne is qualified to serve on our board of directors because of his extensive experience in the life sciences industry, including his past experience serving as a board member of several organizations.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Requirement to Approve Proposal</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Proposal No. 1, the nominees receiving a plurality of votes properly cast will be elected, meaning that the two director nominees receiving the most “for” votes will be elected as directors. Votes withheld and broker non-votes will have no effect on the election of directors.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George Mclean Milne Jr., Ph.D., and Paul Fonteyne as Class II directors, each to serve for a three-year term ending at the Annual Meeting of stockholders to be held in 2029.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continuing directors and their ages as of April 10,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34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Positions and Offices Held with Amylyx</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Which Term</w:t>
            </w:r>
          </w:p>
        </w:tc>
        <w:tc>
          <w:tcPr>
            <w:tcW w:w="120" w:type="dxa"/>
            <w:vAlign w:val="bottom"/>
          </w:tcPr>
          <w:p>
            <w:pPr>
              <w:spacing w:after="0"/>
              <w:rPr>
                <w:sz w:val="12"/>
                <w:szCs w:val="12"/>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4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1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Joshua Cohen</w:t>
            </w:r>
          </w:p>
        </w:tc>
        <w:tc>
          <w:tcPr>
            <w:tcW w:w="3560" w:type="dxa"/>
            <w:vAlign w:val="bottom"/>
            <w:gridSpan w:val="2"/>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Co-Chief Executive Officer and Director</w:t>
            </w:r>
          </w:p>
        </w:tc>
        <w:tc>
          <w:tcPr>
            <w:tcW w:w="1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Class III—2027</w:t>
            </w:r>
          </w:p>
        </w:tc>
        <w:tc>
          <w:tcPr>
            <w:tcW w:w="9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Daphne Quimi</w:t>
            </w:r>
          </w:p>
        </w:tc>
        <w:tc>
          <w:tcPr>
            <w:tcW w:w="3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III—2027</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Justin Klee</w:t>
            </w:r>
          </w:p>
        </w:tc>
        <w:tc>
          <w:tcPr>
            <w:tcW w:w="3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Co-Chief Executive Officer and Director</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I—2028</w:t>
            </w:r>
          </w:p>
        </w:tc>
        <w:tc>
          <w:tcPr>
            <w:tcW w:w="9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Karen Firestone</w:t>
            </w:r>
          </w:p>
        </w:tc>
        <w:tc>
          <w:tcPr>
            <w:tcW w:w="3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I—2028</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Bernhardt Zeiher, M.D.</w:t>
            </w:r>
          </w:p>
        </w:tc>
        <w:tc>
          <w:tcPr>
            <w:tcW w:w="3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Class I—2028</w:t>
            </w:r>
          </w:p>
        </w:tc>
        <w:tc>
          <w:tcPr>
            <w:tcW w:w="9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Cohen </w:t>
      </w:r>
      <w:r>
        <w:rPr>
          <w:rFonts w:ascii="Times New Roman" w:cs="Times New Roman" w:eastAsia="Times New Roman" w:hAnsi="Times New Roman"/>
          <w:sz w:val="18"/>
          <w:szCs w:val="18"/>
          <w:color w:val="auto"/>
        </w:rPr>
        <w:t>co-founded Amylyx in 2013 and has served as our Co-Chief Executive Officer and a member of our board of directors since January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Alongside our Co-Chief Executive Officer Justin Klee, Mr. Cohen leads our scientific, operational, and strategic direction. He works closely with community members, caregivers, clinicians, and researchers to ensure their perspectives inform our programs in endocrine conditions and neurodegenerative diseases, including post-bariatric hypoglycemia (“PBH”), congenital hyperinsulinism (“HI”), Wolfram syndrome, and amyotrophic lateral sclerosis (“ALS”). Together with our Co-Chief Executive Officer Justin Klee, Mr. Cohen focuses on building the systems, teams, and resources needed to advance mechanism-driven research from preclinical and early-stage clinical program development, through later-stage development and potential commercialization. He has helped to build a team and operating model with proven capabilities to translate scientific insights into therapies through global regulatory approval, commercialization, and patient access, supported by a successful initial public offering (“IPO”) and approximately $1 billion in financing. Mr. Cohen was named to Business Insider’s 30 Under 40 List in Healthcare in 2020. Mr. Cohen earned a Bachelor of Science in biomedical engineering from Brown University, where he was a National Merit Scholar. While at Brown, he founded the Brown Biotechnology Investment Group and conducted research published by the </w:t>
      </w:r>
      <w:r>
        <w:rPr>
          <w:rFonts w:ascii="Times New Roman" w:cs="Times New Roman" w:eastAsia="Times New Roman" w:hAnsi="Times New Roman"/>
          <w:sz w:val="18"/>
          <w:szCs w:val="18"/>
          <w:i w:val="1"/>
          <w:iCs w:val="1"/>
          <w:color w:val="auto"/>
        </w:rPr>
        <w:t>National Institutes of Standards and Technology</w:t>
      </w:r>
      <w:r>
        <w:rPr>
          <w:rFonts w:ascii="Times New Roman" w:cs="Times New Roman" w:eastAsia="Times New Roman" w:hAnsi="Times New Roman"/>
          <w:sz w:val="18"/>
          <w:szCs w:val="18"/>
          <w:color w:val="auto"/>
        </w:rPr>
        <w:t xml:space="preserve"> and in the </w:t>
      </w:r>
      <w:r>
        <w:rPr>
          <w:rFonts w:ascii="Times New Roman" w:cs="Times New Roman" w:eastAsia="Times New Roman" w:hAnsi="Times New Roman"/>
          <w:sz w:val="18"/>
          <w:szCs w:val="18"/>
          <w:i w:val="1"/>
          <w:iCs w:val="1"/>
          <w:color w:val="auto"/>
        </w:rPr>
        <w:t>Journal of Pharmaceutical Sciences</w:t>
      </w:r>
      <w:r>
        <w:rPr>
          <w:rFonts w:ascii="Times New Roman" w:cs="Times New Roman" w:eastAsia="Times New Roman" w:hAnsi="Times New Roman"/>
          <w:sz w:val="18"/>
          <w:szCs w:val="18"/>
          <w:color w:val="auto"/>
        </w:rPr>
        <w:t>. We believe that Mr. Cohen is qualified to serve on our board of directors because of his familiarity with and experience building our company as its Co-Chief Executive Officer and Co-Founder, as well as his knowledge and familiarity with corporate management, clinical trials, neurodegenerative disease research and drug development.</w:t>
      </w:r>
    </w:p>
    <w:p>
      <w:pPr>
        <w:spacing w:after="0" w:line="7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Daphne Quimi </w:t>
      </w:r>
      <w:r>
        <w:rPr>
          <w:rFonts w:ascii="Times New Roman" w:cs="Times New Roman" w:eastAsia="Times New Roman" w:hAnsi="Times New Roman"/>
          <w:sz w:val="18"/>
          <w:szCs w:val="18"/>
          <w:color w:val="auto"/>
        </w:rPr>
        <w:t>has served as a member of our board of directors since June 2021. Ms. Quimi has more than 25 years of executive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and biotechnology industries with expertise in global finance operations, company building, and rare disease drug commercialization. Ms. Quimi served as chief financial officer of Amicus Therapeutics, Inc. (“Amicus”), a biotechnology company from January 2019 until August 2023 and as the advisor to the chief financial officer of Amicus until March 2024 after holding various roles at Amicus since 2007. Ms. Quimi also serves on the board of directors at Century Therapeutics, Inc. (Nasdaq: IPSC) since October 2022 and Chiesi Farmaceutici S.p.A. since January 2025. Prior to that, Ms. Quimi served as Director of Consolidations and External Reporting at Bristol-Myers Squibb Company, a global biopharmaceutical company, from 2005 to 2007. Ms. Quimi received a B.S. in Accountancy from Monmouth University and an M.B.A. from the Stern School of Business of New York University. We believe Ms. Quimi is qualified to serve on our board of directors due to her significant financial expertise and experience in the life sciences industry.</w:t>
      </w:r>
    </w:p>
    <w:p>
      <w:pPr>
        <w:spacing w:after="0" w:line="77"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Justin Klee </w:t>
      </w:r>
      <w:r>
        <w:rPr>
          <w:rFonts w:ascii="Times New Roman" w:cs="Times New Roman" w:eastAsia="Times New Roman" w:hAnsi="Times New Roman"/>
          <w:sz w:val="18"/>
          <w:szCs w:val="18"/>
          <w:color w:val="auto"/>
        </w:rPr>
        <w:t>co-founded Amylyx in 2013 and has served as our Co-Chief Executive Officer and a member of our board of directors since January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Alongside our Co-Chief Executive Officer Joshua Cohen, Mr. Klee leads our scientific, operational, and strategic direction. He works closely with community members, caregivers, clinicians, and researchers to ensure their perspectives inform our programs in endocrine conditions and neurodegenerative diseases, including PBH, HI, Wolfram syndrome, and ALS. Together with our Co-Chief Executive Officer Joshua Cohen, Mr. Klee focuses on building the systems, teams, and resources needed to advance mechanism-driven research from preclinical and early-stage clinical program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development, through later-stage development and potential commercialization. He has helped to build a team and operating model with proven capabilities to translate scientific insights into therapies through global regulatory approval, commercialization, and patient access, supported by a successful IPO and approximately $1 billion in financing. Mr. Klee was named to Business Insider’s 30 Under 40 List in Healthcare in 2020. Mr. Klee’s background includes research in neural systems at Brown University and in neurophysiology and Alzheimer’s disease at Harvard Medical School under Dr. Rudolph Tanzi. He holds a Bachelor of Science in neuroscience from Brown University and is a published author in peer-reviewed scientific journals. We believe that Mr. Klee is qualified to serve on our board of directors because of his familiarity with and experience building our company as its Co-Chief Executive Officer and Co-Founder, as well as his knowledge and familiarity with corporate management, clinical trials, neurodegenerative disease research and drug development.</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Karen Firestone </w:t>
      </w:r>
      <w:r>
        <w:rPr>
          <w:rFonts w:ascii="Times New Roman" w:cs="Times New Roman" w:eastAsia="Times New Roman" w:hAnsi="Times New Roman"/>
          <w:sz w:val="18"/>
          <w:szCs w:val="18"/>
          <w:color w:val="auto"/>
        </w:rPr>
        <w:t>has served as a member of our board of directors since March 2023. Ms. Firestone is Co-founder and Chair Emerita of Aureus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 investment firm that manages over $8 billion of assets for families, individuals, and non-profit entities, which role she has held since 2005. Previously, she spent 22 years at Fidelity Investments, most recently as a diversified fund manager of Destiny 1 Fund, the Large Cap Fund, Advisor Large Cap Fund and managing numerous sector funds, including Biotechnology, Health Care, and Media. Ms. Firestone serves as a Trustee Emerita at the Beth Israel Deaconess Medical Center. She is on the Board of Governors and is the Clerk of the Boston Athletic Association. Ms. Firestone received a Bachelor of Arts degree in economics, magna cum laude, from Harvard College and an MBA from Harvard Business School. We believe Ms. Firestone is qualified to serve on our board of directors because of her asset management experience in the life sciences industry and business background.</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Bernhardt Zeiher, M.D. </w:t>
      </w:r>
      <w:r>
        <w:rPr>
          <w:rFonts w:ascii="Times New Roman" w:cs="Times New Roman" w:eastAsia="Times New Roman" w:hAnsi="Times New Roman"/>
          <w:sz w:val="18"/>
          <w:szCs w:val="18"/>
          <w:color w:val="auto"/>
        </w:rPr>
        <w:t>has served as a member of our board of directors since March 2024. Dr. Zeiher previously held senior leadership positions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Astellas Pharma Inc. (“Astellas Pharma”), a publicly-traded global pharmaceutical company, including Chief Medical Officer from April 2019 to September 2022; Chief Medical Officer and President of Development from April 2018 to April 2019; President of Development from 2015 to April 2018, preceded by several roles of increasing responsibility beginning in 2010. Prior to joining Astellas Pharma, Dr. Zeiher held various leadership positions at Pfizer, a global pharmaceutical company, including Vice President, Inflammation Disease Area Lead from 2009 to 2010; Executive Director, Inflammation and Pain Clinical Development from 2006 to 2009; and Senior Director, Inflammation and Pain Early Clinical Development from 2005 to 2006. Before joining Pfizer, Dr. Zeiher held various leadership positions at Eli Lilly and Company (NYSE: LLY), a global pharmaceutical company, including Medical Director from 2002 to 2005; Head, Critical Care Clinical Research from 2001 to 2002; and Clinical Research Physician from 2000 to 2001. Dr. Zeiher also worked as an Associate Medical Director at Merck &amp; Co. Inc. from 1998 to 2000. In addition to his leadership roles in the pharmaceutical industry, Dr. Zeiher has served on the board of directors of Entrada Therapeutics, Inc. (Nasdaq: TRDA) since April 2023 and Abeona Therapeutics Inc. (Nasdaq: ABEO) since August 2024. Dr. Zeiher received a B.S. in Biology from the University of Toledo, earned his Doctor of Medicine at the Case Western Reserve University School of Medicine, and completed an internal medicine residency at University Hospitals of Cleveland as well as a fellowship in Pulmonary and Critical Care Medicine at University of Iowa Hospitals and Clinics. He is also a Fellow in the American College of Physicians and the American College of Chest Physicians. We believe that Dr. Zeiher is qualified to serve on our board of directors due to his experience as a senior executive in the pharmaceutical industry, as well as his service on the boards of directors of several organizations.</w:t>
      </w:r>
    </w:p>
    <w:p>
      <w:pPr>
        <w:spacing w:after="0" w:line="7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Properly submitted proxies will be voted in favor of the above nominees unless a contrary specification is made in the proxy. Each of the nominees has consented to serve as a director if elected. However, if a nominee is unable or unwilling to serve or for good cause will not serve as a director, properly submitted proxies will be voted for the election of such substitute nominee as our board of directors may designate.</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There is no arrangement or understanding between any of our directors and any other person or persons pursuant to which he or she is to be selected as a director.</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our subsidiary or in which any such person has a material interest adverse to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PROPOSAL NO. 2 – RATIFICATION OF THE SELECTION OF</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Stockholders are being asked to ratify the appointment by the audit committee of the board of directors of Deloitte, as our independent registered public accounting firm for the fiscal year ending December 31, 2026. Deloitte has served as our independent registered public accounting firm since 2020.</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2026. Stockholder approval is not required to appoint Deloitte as our independent registered public accounting firm. However, the board of directors believes that submitting the appointment of Deloitte to the stockholders for ratification is good corporate governance. If the stockholders do not ratify this appointment, the audit committee will reconsider whether to retain Deloitte. If the selection of Deloitte is ratified, the audit committee, at its discretion, may direct the appointment of a different independent registered public accounting firm at any time it decides that such a change would be in the best interest of the Company and its stockholders.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representative of Deloitte is expected to be present at the Annual Meeting and will have an opportunity to make a statement if he or she desires to do so and to respond to appropriate questions from our stockholders. We incurred the following fees from Deloitte for the audit of the financial statements and for other services provided during the years ended December 31, 2025 and 2024.</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Audit fees (1)</w:t>
            </w:r>
          </w:p>
        </w:tc>
        <w:tc>
          <w:tcPr>
            <w:tcW w:w="3240" w:type="dxa"/>
            <w:vAlign w:val="bottom"/>
            <w:gridSpan w:val="2"/>
            <w:shd w:val="clear" w:color="auto" w:fill="CFF0FC"/>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862,500</w:t>
            </w:r>
          </w:p>
        </w:tc>
        <w:tc>
          <w:tcPr>
            <w:tcW w:w="5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925,000</w:t>
            </w:r>
          </w:p>
        </w:tc>
        <w:tc>
          <w:tcPr>
            <w:tcW w:w="80" w:type="dxa"/>
            <w:vAlign w:val="bottom"/>
            <w:shd w:val="clear" w:color="auto" w:fill="CFF0FC"/>
          </w:tcPr>
          <w:p>
            <w:pPr>
              <w:spacing w:after="0"/>
              <w:rPr>
                <w:sz w:val="12"/>
                <w:szCs w:val="12"/>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Audit-related fees (2)</w:t>
            </w: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fees (3)</w:t>
            </w:r>
          </w:p>
        </w:tc>
        <w:tc>
          <w:tcPr>
            <w:tcW w:w="24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 other fees (4)</w:t>
            </w:r>
          </w:p>
        </w:tc>
        <w:tc>
          <w:tcPr>
            <w:tcW w:w="24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80" w:type="dxa"/>
            <w:vAlign w:val="bottom"/>
          </w:tcPr>
          <w:p>
            <w:pPr>
              <w:spacing w:after="0"/>
              <w:rPr>
                <w:sz w:val="12"/>
                <w:szCs w:val="12"/>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fees</w:t>
            </w:r>
          </w:p>
        </w:tc>
        <w:tc>
          <w:tcPr>
            <w:tcW w:w="3240" w:type="dxa"/>
            <w:vAlign w:val="bottom"/>
            <w:gridSpan w:val="2"/>
            <w:shd w:val="clear" w:color="auto" w:fill="CFF0FC"/>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862,500</w:t>
            </w:r>
          </w:p>
        </w:tc>
        <w:tc>
          <w:tcPr>
            <w:tcW w:w="5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930,685</w:t>
            </w:r>
          </w:p>
        </w:tc>
        <w:tc>
          <w:tcPr>
            <w:tcW w:w="80" w:type="dxa"/>
            <w:vAlign w:val="bottom"/>
            <w:shd w:val="clear" w:color="auto" w:fill="CFF0FC"/>
          </w:tcPr>
          <w:p>
            <w:pPr>
              <w:spacing w:after="0"/>
              <w:rPr>
                <w:sz w:val="12"/>
                <w:szCs w:val="12"/>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9" w:lineRule="exact"/>
        <w:rPr>
          <w:sz w:val="20"/>
          <w:szCs w:val="20"/>
          <w:color w:val="auto"/>
        </w:rPr>
      </w:pPr>
    </w:p>
    <w:p>
      <w:pPr>
        <w:ind w:left="520" w:right="580" w:hanging="512"/>
        <w:spacing w:after="0" w:line="269"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for the audit of our annual financial statements, the review of our interim financial statements, and services in connection with our registration statements, comfort letters, and consents.</w:t>
      </w:r>
    </w:p>
    <w:p>
      <w:pPr>
        <w:ind w:left="520" w:right="220" w:hanging="512"/>
        <w:spacing w:after="0" w:line="264"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services that are reasonably related to the performance of the audit or review of our financial statements. There were no audit-related fees for fiscal years 2025 and 2024.</w:t>
      </w:r>
    </w:p>
    <w:p>
      <w:pPr>
        <w:ind w:left="520" w:hanging="512"/>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tax compliance, advice and tax services. There were no tax fees for fiscal years 2025 and 2024.</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are fees billed by Deloitte to the Company for any services not included in the first three categories.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the fee structure, which is also generally subject to a maximum dollar amount.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Deloitte other than in accordance with the pre-approval policies and procedures described above. A majority of the hours expended on the principal accountant’s engagement to audit the financial statements of the Company for the fiscal years 2025 and 2024 were attributable to work performed by full-time, permanent employees of the principal accountant.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Requirement to Approve Proposal</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Proposal No. 2, the affirmative votes of a majority of the votes properly cast are required to ratify the appointment of Deloitte as the Company’s independent registered public accounting firm for the fiscal year ending December 31, 2026. Abstentions and broker non-votes, if any, will have no effect on the outcome of the vote on this proposal.</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Deloitte as Amylyx’s independent registered public accounting firm for the fiscal year ending December 31, 2026.</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 – NON-BINDING, ADVISORY VOTE ON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OF OUR NAMED EXECUTIVE OFFICERS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(the “Dodd-Frank Act”) and Section 14A(a)(2) of the Exchange Act, we are providing our stockholders with an opportunity to vote to approve, on a non-binding, advisory basis, the compensation of our named executive officers. This is commonly known as a “Say-on-Pay” proposal.</w:t>
      </w:r>
    </w:p>
    <w:p>
      <w:pPr>
        <w:spacing w:after="0" w:line="6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the compensation tables, and the related narrative disclosure that accompanies the compensation tables contained in this proxy statement. As discussed in those disclosures, we believe that our compensation policies and decisions are strongly aligned with our stockholders’ interests and are consistent with current market practices. Compensation of our named executive officers is designed to enable us to attract and retain talented and experienced executives to lead us successfully in a competitive environment. Accordingly, we are asking our stockholders to vote for the following resolution:</w:t>
      </w:r>
    </w:p>
    <w:p>
      <w:pPr>
        <w:spacing w:after="0" w:line="77" w:lineRule="exact"/>
        <w:rPr>
          <w:sz w:val="20"/>
          <w:szCs w:val="20"/>
          <w:color w:val="auto"/>
        </w:rPr>
      </w:pPr>
    </w:p>
    <w:p>
      <w:pPr>
        <w:ind w:left="76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Company’s stockholders hereby approve, on a non-binding, advisory basis, the compensation of the Company’s named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as disclosed in the proxy statement for the 2026 Annual Meeting of Stockholders, including the compensation tables and narrative discussion that accompanies the compensation tables.</w:t>
      </w:r>
    </w:p>
    <w:p>
      <w:pPr>
        <w:spacing w:after="0" w:line="6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of directors, or our compensation committee. However, our board of directors and compensation committee value your opinion and intend to consider the outcome of the vote when making compensation decisions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votes of a majority of the votes properly cast on this proposal are required to approve, on an advisory basis, the compensation of our named executive officers. Shares that are voted “abstain” and broker non-votes will have no effect on the outcome of this proposal.</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approve, on a non-binding, advisory basis, the compensation of our named executive officers.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of directors. The qualifications, qualities and skills that our nominating and corporate governance committee believes must be met by a committee-recommended nominee for a position on our board of directors are as follows:</w:t>
      </w:r>
    </w:p>
    <w:p>
      <w:pPr>
        <w:spacing w:after="0" w:line="75"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demonstrate 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proven achievement and competence in the nominee’s field and the ability to exercise sound business judgment.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skills that are complementary to those of the existing board of directors.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ability to assist and support management and make significant contributions to our success.</w:t>
      </w:r>
    </w:p>
    <w:p>
      <w:pPr>
        <w:spacing w:after="0" w:line="11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understanding of the fiduciary responsibilities that are required of a member of the board of directors and the commitment of time and energy necessary to diligently carry out those responsibilities.</w:t>
      </w:r>
    </w:p>
    <w:p>
      <w:pPr>
        <w:spacing w:after="0" w:line="5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one-year anniversary of the date of the preceding year’s annual meeting and should include appropriate biographical and background material to allow our nominating and corporate governance committee to properly evaluate the potential director candidate and the number of shares of our stock beneficially owned by the stockholder proposing the candidate. Stockholder proposals should be addressed to Amylyx Pharmaceuticals, Inc., 55 Cambridge Parkway, Suite 6W, Cambridge, MA 02142,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for a discussion of submitting stockholder proposals.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Applicable Nasdaq Stock Market LLC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Joshua Cohen and Justin Klee,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There are no family relationships among any of our directors or executive officers. Mr. Cohen and Mr. Klee are not independent directors under these rules because they are executive officers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Our board of directors has also established a science and technology committee, an advisory committee of the board of directors which operates under a charter duly adopted by the board of directors. A current copy of the charter for each of the audit committee, compensation committee, nominating and corporate governance committee and science and technology committee is posted on the corporate governance section of our website, </w:t>
      </w:r>
      <w:r>
        <w:rPr>
          <w:rFonts w:ascii="Times New Roman" w:cs="Times New Roman" w:eastAsia="Times New Roman" w:hAnsi="Times New Roman"/>
          <w:sz w:val="18"/>
          <w:szCs w:val="18"/>
          <w:i w:val="1"/>
          <w:iCs w:val="1"/>
          <w:color w:val="auto"/>
        </w:rPr>
        <w:t>www.investors.amylyx.com/corporate-governance/documents-charters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Daphne Quimi, Karen Firestone, and George Mclean Milne Jr., Ph.D. currently serve on the audit committee, which is chaired by Ms. Quimi.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Ms. Quimi as an “audit committee financial expert,” as defined under the applicable rules of the SEC. During the fiscal year ended December 31, 2025, the audit committee met four times. The report of the audit committee is included in this proxy statement under “</w:t>
      </w:r>
      <w:r>
        <w:rPr>
          <w:rFonts w:ascii="Times New Roman" w:cs="Times New Roman" w:eastAsia="Times New Roman" w:hAnsi="Times New Roman"/>
          <w:sz w:val="18"/>
          <w:szCs w:val="18"/>
          <w:i w:val="1"/>
          <w:iCs w:val="1"/>
          <w:color w:val="auto"/>
        </w:rPr>
        <w:t>Report of the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audit committee’s responsibilities include:</w:t>
      </w:r>
    </w:p>
    <w:p>
      <w:pPr>
        <w:spacing w:after="0" w:line="79"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140" w:right="50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53" w:lineRule="exact"/>
        <w:rPr>
          <w:rFonts w:ascii="Times New Roman" w:cs="Times New Roman" w:eastAsia="Times New Roman" w:hAnsi="Times New Roman"/>
          <w:sz w:val="18"/>
          <w:szCs w:val="18"/>
          <w:color w:val="auto"/>
        </w:rPr>
      </w:pPr>
    </w:p>
    <w:p>
      <w:pPr>
        <w:ind w:left="1140" w:right="50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Forms 10-K;</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assessing all such transactions for approval;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 and quarterly earnings releases.</w:t>
      </w:r>
    </w:p>
    <w:p>
      <w:pPr>
        <w:spacing w:after="0" w:line="11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Paul Fonteyne, George Mclean Milne Jr., Ph.D., and Daphne Quimi currently serve on the compensation committee, which is chaired by Mr. Fonteyne. Our board of directors has determined that each member of the compensation committee is “independent” as defined in the applicable Nasdaq rules. During the fiscal year ended December 31, 2025, the compensation committee met six times. The compensation committee’s responsibilities include:</w:t>
      </w:r>
    </w:p>
    <w:p>
      <w:pPr>
        <w:spacing w:after="0" w:line="68" w:lineRule="exact"/>
        <w:rPr>
          <w:sz w:val="20"/>
          <w:szCs w:val="20"/>
          <w:color w:val="auto"/>
        </w:rPr>
      </w:pPr>
    </w:p>
    <w:p>
      <w:pPr>
        <w:ind w:left="1140" w:right="5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the corporate goals and objectives relevant to the compensation of our Co-Chief Executive Officers;</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Co-Chief Executive Officers in light of such corporate goals and objectives and recommending to the Board the cash and equity compensation of our Co-Chief Executive Officers based on such evaluation;</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structure, philosophy and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our policies and procedures for the grant of equity-based awards;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to the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 and</w:t>
      </w:r>
    </w:p>
    <w:p>
      <w:pPr>
        <w:spacing w:after="0" w:line="53"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objective of the compensation committee is to develop and implement compensation policies and plans that ensure the attraction and retention of key management personnel, the motivation of management to achieve our corporate goals and strategies, and the alignment of the interests of management with the long-term interests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compensation committee has engaged Pearl Meyer &amp; Partners, LLC (“Pearl Meyer”), as its independent compensation consultant. Pearl Meyer provides analysis and recommendations to the compensation committee regarding:</w:t>
      </w:r>
    </w:p>
    <w:p>
      <w:pPr>
        <w:spacing w:after="0" w:line="54"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emerging topics with respect to executive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selection for compensation benchmarking;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for our executive officers and board of directors;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strategy, stock utilization, and related metrics.</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When requested, Pearl Meyer consultants attend meetings of the compensation committee, including executive sessions in which executive compensation related matters are discussed without the presence of management. Pearl Meyer reports to the compensation committee and not to management, although Pearl Meyer meets with management for purposes of gathering information for its analyses and recommendations.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determining to engage Pearl Meyer, the compensation committee considered the independence of Pearl Meyer, taking into consideration relevant factors, including the absence of other services provided to us by Pearl Meyer, the amount of fees we paid to Pearl Meyer as a percentage of Pearl Meyer’s total revenue, the policies and procedures of Pearl Meyer that are designed to prevent conflicts of interest, any business or personal relationship of the individual compensation advisors employed by Pearl Meyer with any of our executive officers, any business or personal relationship the individual compensation advisors employed by Pearl Meyer have with any member of the compensation committee, and any stock of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owned by Pearl Meyer or the individual compensation advisors employed by Pearl Meyer. The compensation committee has determined, based on its analysis and in light of all relevant factors, including the factors listed above, that the work of Pearl Meyer and the individual compensation advisors employed by Pearl Meyer as compensation consultants to the compensation committee has not created any conflicts of interest, and that Pearl Meyer is independent pursuant to the independence standards set forth in the Nasdaq listing standards promulgated pursuant to Section 10C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George Mclean Milne Jr., Ph.D., Karen Firestone, and Bernhardt Zeiher, M.D. currently serve on the nominating and corporate governance committee, which is chaired by Dr. Milne. Our board of directors has determined that each member of the nominating and corporate governance committee is “independent” as defined in the applicable Nasdaq rules. During the fiscal year ended December 31, 2025, the nominating and corporate governance committee met three times. The nominating and corporate governance committee’s responsibilities include:</w:t>
      </w:r>
    </w:p>
    <w:p>
      <w:pPr>
        <w:spacing w:after="0" w:line="72"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code of conduct and business ethics and corporate governance guidelines and recommending any changes to the board of directors;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board of directors to ensure that it is composed of members containing the appropriate skills and expertise to advise us;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 and</w:t>
      </w:r>
    </w:p>
    <w:p>
      <w:pPr>
        <w:spacing w:after="0" w:line="117"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discussing with the board of directors corporate succession plans for the Chief Executive Officer(s) and other key officers of the Company.</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Co-Chief Executive Officers.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The nominating and corporate governance committee will also consider whether to nominate any person proposed by a stockholder in accordance with the provisions of our bylaws relating to stockholder nominations as described later in this proxy statement under the heading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diversity in its membership is important to serving the long-term interests of the Company and shareholders. In evaluating candidates, the committee considers diversity as it deems appropriate given the current needs of the board of directors and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Bernhardt Zeiher, M.D., Paul Fonteyne, and George Mclean Milne Jr., Ph.D. serve on the science and technology committee, which is chaired by Dr. Zeiher. The science and technology committee assists with the oversight of the Company’s research and development activities, and advising the board of directors and management with respect to strategic scientific and clinical considerations. During the fiscal year ended December 31, 2025, the science and technology committee met seven times.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board of directors believes that diversity in its membership is important to serving the long-term interests of the Company and shareholders. In evaluating candidates, the board of directors considers diversity as it deems appropriate given the current needs of the Company and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Attendance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full board of directors met eleven times during 2025. During 2025, each member of the board of directors attended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Directors are encouraged to attend the annual meeting of stockholders to the extent practicable, and last year, all seven of our directors who were members of our board of directors at such time attended our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It is the Company’s policy to comply with applicable insider trading laws, rules and regulations, and any exchange listing standards when engaging in transactions in Company securities.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insider trading policy expressly prohibits short sales and derivative transactions of our stock and purchases or sales of puts, calls, or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by our executive officers, directors, employees and certain designated consultants and contractors.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adopted a policy which prohibits our directors, officers and employees from (i) engaging in any hedging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insider trading policy is filed with our 2025 Annual Report as Exhibit 19.1.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Compensation Recovery Policy in compliance with the requirements of applicable SEC and Nasdaq rules. If we are required to prepare an accounting restatement due to material non-compliance with any financial reporting requirements, the Compensation Recovery Policy requires (subject to certain limited exceptions described in the policy and permitted by the final clawback rules) that we recover erroneously awarded compensation received by any current or former executive officer in the three fiscal years prior to the date we were required to restate our financial statements that is in excess of the amount that would have been received based on the restated financial statements. A copy of our Compensation Recovery Policy is filed with our 2025 Annual Report as Exhibit 97.1.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the highest standards of integrity and ethics in the way we conduct our business. We have adopted a written code of business conduct and ethics that applies to our directors, officers and employees, including our principal executive officers, principal financial officer, principal accounting officer or controller, or persons performing similar functions. If we amend or grant a waiver under the code that applies to our executive officers or directors, we intend to post information about such amendment or waiver on our website at </w:t>
      </w:r>
      <w:r>
        <w:rPr>
          <w:rFonts w:ascii="Times New Roman" w:cs="Times New Roman" w:eastAsia="Times New Roman" w:hAnsi="Times New Roman"/>
          <w:sz w:val="18"/>
          <w:szCs w:val="18"/>
          <w:i w:val="1"/>
          <w:iCs w:val="1"/>
          <w:color w:val="auto"/>
        </w:rPr>
        <w:t>www.amylyx.com</w:t>
      </w:r>
      <w:r>
        <w:rPr>
          <w:rFonts w:ascii="Times New Roman" w:cs="Times New Roman" w:eastAsia="Times New Roman" w:hAnsi="Times New Roman"/>
          <w:sz w:val="18"/>
          <w:szCs w:val="18"/>
          <w:color w:val="auto"/>
        </w:rPr>
        <w:t xml:space="preserve">. A current copy of the code is posted on the corporate governance section of our website, which is located at </w:t>
      </w:r>
      <w:r>
        <w:rPr>
          <w:rFonts w:ascii="Times New Roman" w:cs="Times New Roman" w:eastAsia="Times New Roman" w:hAnsi="Times New Roman"/>
          <w:sz w:val="18"/>
          <w:szCs w:val="18"/>
          <w:i w:val="1"/>
          <w:iCs w:val="1"/>
          <w:color w:val="auto"/>
        </w:rPr>
        <w:t>www.investors.amylyx.com/corporate-governance/documents-charters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George Mclean Milne Jr., Ph.D. is the current chairperson of our board of directors. We believe that separating the positions of Chief Executive Officer and chairperson of the board of directors allows our Co-Chief Executive Officers to focus on our day-to-day business, while allowing a chairperson of the board to lead the board of directors in its fundamental role of providing advice to and independent oversight of management. Our board of directors recognizes the time, effort and energy that the Co-Chief Executive Officers are required to devote to their position in the current business environment, as well as the commitment required to serve as our chairperson, particularly as the board of directors’ oversight responsibilities continue to grow. While our bylaws and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spacing w:after="0" w:line="8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cybersecurity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Amylyx</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the Company may report such concerns to the board of directors or the chairperson of our board of directors or the chairperson of our nominating and corporate governance committee, by submitting a written communication to the attention of such director at the following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Amylyx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 Cambridge Parkway, Suite 6W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supplier, or other interested party.</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Amylyx’s legal counsel and a copy of such communication may be retained for a reasonable period of time. The director may discuss the matter with Amylyx’s legal counsel, with independent advisors, with non-management directors, or with Amylyx’s management, or may take other action or no action as the director determines in good faith, using reasonable judgment, and applying his or her own discretion.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Amylyx regarding accounting, internal accounting controls, or audit matters, and the confidential, anonymous submission by employees of concerns regarding questionable accounting, internal accounting controls or auditing matters. Amylyx has also established a toll-free telephone number for the reporting of such activity, which is +1 (833) 778-1542.</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at Amylyx and their ages as of April 10,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38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Position Held with Amylyx</w:t>
            </w:r>
          </w:p>
        </w:tc>
        <w:tc>
          <w:tcPr>
            <w:tcW w:w="160" w:type="dxa"/>
            <w:vAlign w:val="bottom"/>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Officer Since</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Age</w:t>
            </w:r>
          </w:p>
        </w:tc>
        <w:tc>
          <w:tcPr>
            <w:tcW w:w="20" w:type="dxa"/>
            <w:vAlign w:val="bottom"/>
          </w:tcPr>
          <w:p>
            <w:pPr>
              <w:spacing w:after="0"/>
              <w:rPr>
                <w:sz w:val="15"/>
                <w:szCs w:val="15"/>
                <w:color w:val="auto"/>
              </w:rPr>
            </w:pPr>
          </w:p>
        </w:tc>
      </w:tr>
      <w:tr>
        <w:trPr>
          <w:trHeight w:val="142"/>
        </w:trPr>
        <w:tc>
          <w:tcPr>
            <w:tcW w:w="4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Joshua Cohen</w:t>
            </w:r>
          </w:p>
        </w:tc>
        <w:tc>
          <w:tcPr>
            <w:tcW w:w="4060" w:type="dxa"/>
            <w:vAlign w:val="bottom"/>
            <w:gridSpan w:val="2"/>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Co-Chief Executive Officer and Director</w:t>
            </w:r>
          </w:p>
        </w:tc>
        <w:tc>
          <w:tcPr>
            <w:tcW w:w="1320" w:type="dxa"/>
            <w:vAlign w:val="bottom"/>
            <w:gridSpan w:val="3"/>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2"/>
                <w:szCs w:val="12"/>
                <w:color w:val="auto"/>
              </w:rPr>
            </w:pPr>
          </w:p>
        </w:tc>
      </w:tr>
      <w:tr>
        <w:trPr>
          <w:trHeight w:val="148"/>
        </w:trPr>
        <w:tc>
          <w:tcPr>
            <w:tcW w:w="4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Justin Klee</w:t>
            </w:r>
          </w:p>
        </w:tc>
        <w:tc>
          <w:tcPr>
            <w:tcW w:w="4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Co-Chief Executive Officer and Director</w:t>
            </w:r>
          </w:p>
        </w:tc>
        <w:tc>
          <w:tcPr>
            <w:tcW w:w="13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r>
      <w:tr>
        <w:trPr>
          <w:trHeight w:val="149"/>
        </w:trPr>
        <w:tc>
          <w:tcPr>
            <w:tcW w:w="4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Frates</w:t>
            </w:r>
          </w:p>
        </w:tc>
        <w:tc>
          <w:tcPr>
            <w:tcW w:w="40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c>
          <w:tcPr>
            <w:tcW w:w="13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2"/>
                <w:szCs w:val="12"/>
                <w:color w:val="auto"/>
              </w:rPr>
            </w:pPr>
          </w:p>
        </w:tc>
      </w:tr>
      <w:tr>
        <w:trPr>
          <w:trHeight w:val="148"/>
        </w:trPr>
        <w:tc>
          <w:tcPr>
            <w:tcW w:w="4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Camille L. Bedrosian, M.D.</w:t>
            </w:r>
          </w:p>
        </w:tc>
        <w:tc>
          <w:tcPr>
            <w:tcW w:w="4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Chief Medical Officer</w:t>
            </w:r>
          </w:p>
        </w:tc>
        <w:tc>
          <w:tcPr>
            <w:tcW w:w="13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2"/>
                <w:szCs w:val="12"/>
                <w:color w:val="auto"/>
              </w:rPr>
            </w:pPr>
          </w:p>
        </w:tc>
      </w:tr>
      <w:tr>
        <w:trPr>
          <w:trHeight w:val="148"/>
        </w:trPr>
        <w:tc>
          <w:tcPr>
            <w:tcW w:w="4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Gina M. Mazzariello</w:t>
            </w:r>
          </w:p>
        </w:tc>
        <w:tc>
          <w:tcPr>
            <w:tcW w:w="40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Chief Legal Officer and General Counsel</w:t>
            </w:r>
          </w:p>
        </w:tc>
        <w:tc>
          <w:tcPr>
            <w:tcW w:w="13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2"/>
                <w:szCs w:val="1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Directors Continuing in Office</w:t>
      </w:r>
      <w:r>
        <w:rPr>
          <w:rFonts w:ascii="Times New Roman" w:cs="Times New Roman" w:eastAsia="Times New Roman" w:hAnsi="Times New Roman"/>
          <w:sz w:val="18"/>
          <w:szCs w:val="18"/>
          <w:color w:val="auto"/>
        </w:rPr>
        <w:t>” above for information about our Co-Chief Executive Officers, Mr. Joshua Cohen and Mr. Justin Klee.</w:t>
      </w:r>
    </w:p>
    <w:p>
      <w:pPr>
        <w:spacing w:after="0" w:line="11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Frates </w:t>
      </w:r>
      <w:r>
        <w:rPr>
          <w:rFonts w:ascii="Times New Roman" w:cs="Times New Roman" w:eastAsia="Times New Roman" w:hAnsi="Times New Roman"/>
          <w:sz w:val="18"/>
          <w:szCs w:val="18"/>
          <w:color w:val="auto"/>
        </w:rPr>
        <w:t>has served as our Chief Financial Officer since January 2021. Previously, Mr. Frates served as Chief Financial Officer of Alkermes plc,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company, and its predecessor organization, from July 1998 to January 2021. Mr. Frates has an A.B. in Government from Harvard College and an M.B.A. from the Harvard Graduate School of Business Administration.</w:t>
      </w:r>
    </w:p>
    <w:p>
      <w:pPr>
        <w:spacing w:after="0" w:line="6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Camille L. Bedrosian, M.D. </w:t>
      </w:r>
      <w:r>
        <w:rPr>
          <w:rFonts w:ascii="Times New Roman" w:cs="Times New Roman" w:eastAsia="Times New Roman" w:hAnsi="Times New Roman"/>
          <w:sz w:val="18"/>
          <w:szCs w:val="18"/>
          <w:color w:val="auto"/>
        </w:rPr>
        <w:t>has served as our Chief Medical Officer (“CMO”) since November 2023. Dr. Bedrosian brings nearly 30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building successful clinical development and translation research programs in the pharmaceutical industry. Prior to Amylyx, from January 2018 to November 2023, Dr. Bedrosian was with Ultragenyx Pharmaceutical, Inc (“Ultragenyx”), a biotechnology company. Dr. Bedrosian served most of her nearly six years at Ultragenyx as the Executive Vice President and CMO, where she was responsible for leading drug development programs and supporting translational research programs. During her time there, she helped Ultragenyx grow and greatly advance its many pipeline programs in rare genetic diseases to their pivotal stages. Prior to Ultragenyx, Dr. Bedrosian was CMO for Alexion Pharmaceuticals, Inc. (“Alexion”), where she provided leadership for the development of drugs and drug candidates including those designed to address devastating rare diseases caused by defects in the complement system for people with paroxysmal nocturnal hemoglobinuria and atypical hemolytic uremic syndrome. Prior to Alexion, Dr. Bedrosian was CMO for ARIAD Pharmaceuticals, Inc., where she provided leadership for drug development, and built the clinical organization. Dr. Bedrosian was an Assistant Professor of Medicine at Duke University Medical Center and member of the Duke Comprehensive Cancer Center, where she also completed her residency in internal medicine and fellowship training in hematology and medical oncology. Dr. Bedrosian received her A.B. degree in Honors Chemistry from Harvard University, an M.D. degree from Harvard Medical School and an M.S. degree in Biophysics from the Massachusetts Institute of Technology. She served as a Member of the MIT Corporation Visiting Committee for the Department of Biology from 2017 to 2025. She also served on the board of directors at Rhythm Pharmaceuticals, Inc. (Nasdaq: RYTM) from 2020 to 2025. Currently, Dr. Bedrosian serves on the board of directors of Crinetics Pharmaceuticals, Inc. (Nasdaq: CRNX) and serves as a senior advisor and member of the Development Advisory Board of Scenic Biotech B.V., a biotechnology company.</w:t>
      </w:r>
    </w:p>
    <w:p>
      <w:pPr>
        <w:spacing w:after="0" w:line="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Gina M. Mazzariello </w:t>
      </w:r>
      <w:r>
        <w:rPr>
          <w:rFonts w:ascii="Times New Roman" w:cs="Times New Roman" w:eastAsia="Times New Roman" w:hAnsi="Times New Roman"/>
          <w:sz w:val="18"/>
          <w:szCs w:val="18"/>
          <w:color w:val="auto"/>
        </w:rPr>
        <w:t>has served as our Chief Legal Officer and General Counsel since February 2022. Ms. Mazzariello brings more than 20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healthcare industry. Prior to Amylyx, Ms. Mazzariello was with Boehringer Ingelheim USA, Inc. (“Boehringer USA”), a subsidiary of Boehringer, a global pharmaceutical company, from August 2015 to February 2022, where she served as Vice President, Human Pharma Business Law. Before Boehringer USA, Ms. Mazzariello served as Global General Counsel, Prescription Medicines at Boehringer from January 2014 to August 2015. She earned a B.S. in Management from Syracuse University and a J.D. from Harvard Law School.</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any of our executive officers and any other person or persons pursuant to which he or she was or is to be selected as an executive officer.</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in which any such person has a material interest adverse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2025, we meaningfully advanced our pipeline and positioned the company for what is expected to be a transformative year in 2026. In 2024, we underwent a significant restructuring after voluntarily discontinuing the marketing authorizations for our one commercial product. We also acquired avexitide, a GLP-1 receptor antagonist with U.S. Food and Drug Administration (“FDA”) Breakthrough Designation in 2024. As a result, 2025 was focused on advancing avexitide into a pivotal Phase 3 trial and making important progress on our regulatory and commercial preparations for avexitide. Our compensation committee deemed it appropriate to take certain one-time actions in 2025, including 1) holding executive compensation steady from 2024 to 2025, reflecting our post-restructuring position and 2) granting one-time performance-based restricted stock units (“PSUs”) to executives as part of their annual grant to incentivize the executives on our most important expected milestones, related to avexitide. We also granted PSUs to the broader employee base in an effort to retain the team and provide incentivized opportunities to motivate employees to achieve our new goals and objectives.</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2025, our Say-on-Pay vote received approximately 58% shareholder support. We take this outcome seriously and are committed to ongoing shareholder engagement to better understand investor perspectives on our executive compensation program. Following the 2025 annual meeting and the Say-on-Pay vote outcome, we reached out to and engaged with our top shareholders. Given our new peer group, the compensation committee approved the following courses of action:</w:t>
      </w:r>
    </w:p>
    <w:p>
      <w:pPr>
        <w:spacing w:after="0" w:line="72"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increasing base salaries for our executive leadership team;</w:t>
      </w:r>
    </w:p>
    <w:p>
      <w:pPr>
        <w:spacing w:after="0" w:line="117"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alignment of pay with performance by incorporating a one-time performance stock unit grant into our long-term incentive program;</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proxy disclosure with respect to all elements of our compensation program;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peer group disclosure in our proxy.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actions reinforce our commitment to pay-for-performance and long-term shareholder value creation.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section describes our performance in 2025, the compensation earned in light of that performance, and the performance metrics and other relevant factors that our compensation committee used in making its compensation decisions and recommendations with respect to our Co-Chief Executive Officers and the two other most highly compensated executive officers who were serving as executive officers on December 31, 2025 (collectively, our “Named Executive Officers” or “NEOs”).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Named Executive Officers were as follows:</w:t>
      </w:r>
    </w:p>
    <w:p>
      <w:pPr>
        <w:spacing w:after="0" w:line="117"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Cohen, our Co-Chief Executive Officer and Director;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Klee, our Co-Chief Executive Officer and Director;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Frates, our Chief Financial Officer;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Camille L. Bedrosian, M.D., our Chief Medical Officer.</w:t>
      </w:r>
    </w:p>
    <w:p>
      <w:pPr>
        <w:spacing w:after="0" w:line="11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The following discussion should be read together with the compensation tables and related disclosures set forth in the “</w:t>
      </w:r>
      <w:r>
        <w:rPr>
          <w:rFonts w:ascii="Times New Roman" w:cs="Times New Roman" w:eastAsia="Times New Roman" w:hAnsi="Times New Roman"/>
          <w:sz w:val="18"/>
          <w:szCs w:val="18"/>
          <w:i w:val="1"/>
          <w:iCs w:val="1"/>
          <w:color w:val="auto"/>
        </w:rPr>
        <w:t>Executive Compensation Tables</w:t>
      </w:r>
      <w:r>
        <w:rPr>
          <w:rFonts w:ascii="Times New Roman" w:cs="Times New Roman" w:eastAsia="Times New Roman" w:hAnsi="Times New Roman"/>
          <w:sz w:val="18"/>
          <w:szCs w:val="18"/>
          <w:color w:val="auto"/>
        </w:rPr>
        <w:t>” section in this proxy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Performance Highlights and Achievement of 2025 Corporate Goals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2025 was another important year for the Company. We met or exceeded a majority of our corporate goals for 2025 and advanced our pipeline. More specifically, and to highlight some of our achievements, in 2025:</w:t>
      </w:r>
    </w:p>
    <w:p>
      <w:pPr>
        <w:spacing w:after="0" w:line="54" w:lineRule="exact"/>
        <w:rPr>
          <w:sz w:val="20"/>
          <w:szCs w:val="20"/>
          <w:color w:val="auto"/>
        </w:rPr>
      </w:pPr>
    </w:p>
    <w:p>
      <w:pPr>
        <w:ind w:left="1140" w:right="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dosing in April 2025 and substantially completed enrollment by the end of 2025 for the pivotal Phase 3 LUCIDITY clinical trial of avexitide for the treatment of PBH;</w:t>
      </w:r>
    </w:p>
    <w:p>
      <w:pPr>
        <w:spacing w:after="0" w:line="53" w:lineRule="exact"/>
        <w:rPr>
          <w:rFonts w:ascii="Times New Roman" w:cs="Times New Roman" w:eastAsia="Times New Roman" w:hAnsi="Times New Roman"/>
          <w:sz w:val="18"/>
          <w:szCs w:val="18"/>
          <w:color w:val="auto"/>
        </w:rPr>
      </w:pPr>
    </w:p>
    <w:p>
      <w:pPr>
        <w:jc w:val="both"/>
        <w:ind w:left="1140" w:right="30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dosing and completed recruitment of Cohort 1 (n=12) in the Phase 1 LUMINA clinical trial of AMX0114, an investigational antisense oligonucleotide targeting knockdown of calpain-2, for people living with ALS and received FDA Fast Track Designation for AMX0114 in June 2025;</w:t>
      </w:r>
    </w:p>
    <w:p>
      <w:pPr>
        <w:spacing w:after="0" w:line="67"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closed our underwritten public offerings in which we issued and sold off an aggregate of approximately 19.7 million and 20.2 million shares of our common stock in January 2025 and September 2025, respectively, with</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combined net proceeds of $256.2 million, after deducting underwriting discounts and commissions and offering expenses;</w:t>
      </w:r>
    </w:p>
    <w:p>
      <w:pPr>
        <w:spacing w:after="0" w:line="117" w:lineRule="exact"/>
        <w:rPr>
          <w:sz w:val="20"/>
          <w:szCs w:val="20"/>
          <w:color w:val="auto"/>
        </w:rPr>
      </w:pPr>
    </w:p>
    <w:p>
      <w:pPr>
        <w:jc w:val="both"/>
        <w:ind w:left="1140" w:right="400" w:hanging="383"/>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new long-term Week 48 data from the Phase 2 open-label HELIOS clinical trial of AMX0035 PB and TURSO in adults living with Wolfram syndrome at the Joint Congress of the European Society for Pediatric Endocrinology and the European Society of Endocrinology in May 2025;</w:t>
      </w:r>
    </w:p>
    <w:p>
      <w:pPr>
        <w:spacing w:after="0" w:line="67"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new exploratory analyses from the Phase 2 PREVENT and Phase 2b clinical trials of avexitide in PBH at the Endocrine Society’s annual meeting in July 2025; and</w:t>
      </w:r>
    </w:p>
    <w:p>
      <w:pPr>
        <w:spacing w:after="0" w:line="60" w:lineRule="exact"/>
        <w:rPr>
          <w:rFonts w:ascii="Times New Roman" w:cs="Times New Roman" w:eastAsia="Times New Roman" w:hAnsi="Times New Roman"/>
          <w:sz w:val="18"/>
          <w:szCs w:val="18"/>
          <w:color w:val="auto"/>
        </w:rPr>
      </w:pPr>
    </w:p>
    <w:p>
      <w:pPr>
        <w:ind w:left="1140" w:right="220" w:hanging="383"/>
        <w:spacing w:after="0" w:line="233"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early safety and tolerability data from Cohort 1 of the Phase 1 LUMINA trial of AMX0114 in ALS at the 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International Symposium on ALS/Motor Neuron Disease in December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Objectives and Philosophy</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key objectives of our executive compensation program are to attract, motivate, retain, and reward leaders who create an inclusive and diverse environment and have the skills and experience necessary to successfully execute on our strategic plan to maximize stockholder value. Our executive compensation program is designed to:</w:t>
      </w:r>
    </w:p>
    <w:p>
      <w:pPr>
        <w:spacing w:after="0" w:line="68"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high-caliber, experienced executives in a competitive and dynamic market;</w:t>
      </w:r>
    </w:p>
    <w:p>
      <w:pPr>
        <w:spacing w:after="0" w:line="117"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NEOs to help the Company achieve the best possible financial and operational results to fulfill our mission to improve lives through transformative therapies;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long-term interests of our NEOs with those of our stockholders.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strive to provide a competitive total compensation opportunity to executives while balancing other important factors. Executives may be compensated above or below levels of compensation for similar positions found in the external market based on factors such as experience, performance, scope of position and the competitive demand for proven executive talent.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endeavor to maintain sound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We Do</w:t>
      </w:r>
    </w:p>
    <w:p>
      <w:pPr>
        <w:spacing w:after="0" w:line="117" w:lineRule="exact"/>
        <w:rPr>
          <w:sz w:val="20"/>
          <w:szCs w:val="20"/>
          <w:color w:val="auto"/>
        </w:rPr>
      </w:pPr>
    </w:p>
    <w:p>
      <w:pPr>
        <w:ind w:left="1140" w:right="4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policies and practices;</w:t>
      </w:r>
    </w:p>
    <w:p>
      <w:pPr>
        <w:spacing w:after="0" w:line="50" w:lineRule="exact"/>
        <w:rPr>
          <w:rFonts w:ascii="Times New Roman" w:cs="Times New Roman" w:eastAsia="Times New Roman" w:hAnsi="Times New Roman"/>
          <w:sz w:val="18"/>
          <w:szCs w:val="18"/>
          <w:color w:val="auto"/>
        </w:rPr>
      </w:pPr>
    </w:p>
    <w:p>
      <w:pPr>
        <w:ind w:left="1140" w:right="6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Retain Independent Compensation Adviser. </w:t>
      </w:r>
      <w:r>
        <w:rPr>
          <w:rFonts w:ascii="Times New Roman" w:cs="Times New Roman" w:eastAsia="Times New Roman" w:hAnsi="Times New Roman"/>
          <w:sz w:val="18"/>
          <w:szCs w:val="18"/>
          <w:color w:val="auto"/>
        </w:rPr>
        <w:t>The compensation committee engaged its own independent compensation consultant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analysis with its 2025 compensation review and other advice on executive compensation;</w:t>
      </w:r>
    </w:p>
    <w:p>
      <w:pPr>
        <w:spacing w:after="0" w:line="50" w:lineRule="exact"/>
        <w:rPr>
          <w:rFonts w:ascii="Times New Roman" w:cs="Times New Roman" w:eastAsia="Times New Roman" w:hAnsi="Times New Roman"/>
          <w:sz w:val="18"/>
          <w:szCs w:val="18"/>
          <w:color w:val="auto"/>
        </w:rPr>
      </w:pPr>
    </w:p>
    <w:p>
      <w:pPr>
        <w:ind w:left="1140" w:right="26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Define a Peer Group. </w:t>
      </w:r>
      <w:r>
        <w:rPr>
          <w:rFonts w:ascii="Times New Roman" w:cs="Times New Roman" w:eastAsia="Times New Roman" w:hAnsi="Times New Roman"/>
          <w:sz w:val="18"/>
          <w:szCs w:val="18"/>
          <w:color w:val="auto"/>
        </w:rPr>
        <w:t>The compensation committee selects peer companies that we compete with for executive officer talent, that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business and are of similar valuation, stage, and size;</w:t>
      </w:r>
    </w:p>
    <w:p>
      <w:pPr>
        <w:spacing w:after="0" w:line="50" w:lineRule="exact"/>
        <w:rPr>
          <w:rFonts w:ascii="Times New Roman" w:cs="Times New Roman" w:eastAsia="Times New Roman" w:hAnsi="Times New Roman"/>
          <w:sz w:val="18"/>
          <w:szCs w:val="18"/>
          <w:color w:val="auto"/>
        </w:rPr>
      </w:pPr>
    </w:p>
    <w:p>
      <w:pPr>
        <w:ind w:left="1140" w:right="56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Conduct an Annual Executive Compensation Review. </w:t>
      </w:r>
      <w:r>
        <w:rPr>
          <w:rFonts w:ascii="Times New Roman" w:cs="Times New Roman" w:eastAsia="Times New Roman" w:hAnsi="Times New Roman"/>
          <w:sz w:val="18"/>
          <w:szCs w:val="18"/>
          <w:color w:val="auto"/>
        </w:rPr>
        <w:t>The compensation committee reviews and approves our compensation strategy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including a review of our compensation peer group used for market studies;</w:t>
      </w:r>
    </w:p>
    <w:p>
      <w:pPr>
        <w:spacing w:after="0" w:line="50" w:lineRule="exact"/>
        <w:rPr>
          <w:rFonts w:ascii="Times New Roman" w:cs="Times New Roman" w:eastAsia="Times New Roman" w:hAnsi="Times New Roman"/>
          <w:sz w:val="18"/>
          <w:szCs w:val="18"/>
          <w:color w:val="auto"/>
        </w:rPr>
      </w:pPr>
    </w:p>
    <w:p>
      <w:pPr>
        <w:ind w:left="1140" w:right="44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Multi-Year Vesting. </w:t>
      </w:r>
      <w:r>
        <w:rPr>
          <w:rFonts w:ascii="Times New Roman" w:cs="Times New Roman" w:eastAsia="Times New Roman" w:hAnsi="Times New Roman"/>
          <w:sz w:val="18"/>
          <w:szCs w:val="18"/>
          <w:color w:val="auto"/>
        </w:rPr>
        <w:t>The compensation committee approves equity awards with performance-based or multi-year vesting to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that align with strategic company goals or long-term valuation creation;</w:t>
      </w:r>
    </w:p>
    <w:p>
      <w:pPr>
        <w:spacing w:after="0" w:line="50" w:lineRule="exact"/>
        <w:rPr>
          <w:rFonts w:ascii="Times New Roman" w:cs="Times New Roman" w:eastAsia="Times New Roman" w:hAnsi="Times New Roman"/>
          <w:sz w:val="18"/>
          <w:szCs w:val="18"/>
          <w:color w:val="auto"/>
        </w:rPr>
      </w:pPr>
    </w:p>
    <w:p>
      <w:pPr>
        <w:ind w:left="1140" w:right="140" w:hanging="383"/>
        <w:spacing w:after="0" w:line="315"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Provide At-Risk Compensation. </w:t>
      </w:r>
      <w:r>
        <w:rPr>
          <w:rFonts w:ascii="Times New Roman" w:cs="Times New Roman" w:eastAsia="Times New Roman" w:hAnsi="Times New Roman"/>
          <w:sz w:val="17"/>
          <w:szCs w:val="17"/>
          <w:color w:val="auto"/>
        </w:rPr>
        <w:t>Our executive compensation program is designed so that a significant portion of our NEOs’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“at risk” based primarily on corporate performance, as well as equity-based, to align the interests of our NEOs and stockholders; and</w:t>
      </w:r>
    </w:p>
    <w:p>
      <w:pPr>
        <w:spacing w:after="0" w:line="26" w:lineRule="exact"/>
        <w:rPr>
          <w:rFonts w:ascii="Times New Roman" w:cs="Times New Roman" w:eastAsia="Times New Roman" w:hAnsi="Times New Roman"/>
          <w:sz w:val="17"/>
          <w:szCs w:val="17"/>
          <w:color w:val="auto"/>
        </w:rPr>
      </w:pPr>
    </w:p>
    <w:p>
      <w:pPr>
        <w:ind w:left="1140" w:right="6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a Compensation Recovery Policy. </w:t>
      </w:r>
      <w:r>
        <w:rPr>
          <w:rFonts w:ascii="Times New Roman" w:cs="Times New Roman" w:eastAsia="Times New Roman" w:hAnsi="Times New Roman"/>
          <w:sz w:val="18"/>
          <w:szCs w:val="18"/>
          <w:color w:val="auto"/>
        </w:rPr>
        <w:t>We maintain a policy to recoup erroneously paid incentive compensation in certain instances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applicable SEC and Nasdaq rules.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We Don’t Do</w:t>
      </w:r>
    </w:p>
    <w:p>
      <w:pPr>
        <w:spacing w:after="0" w:line="117" w:lineRule="exact"/>
        <w:rPr>
          <w:sz w:val="20"/>
          <w:szCs w:val="20"/>
          <w:color w:val="auto"/>
        </w:rPr>
      </w:pPr>
    </w:p>
    <w:p>
      <w:pPr>
        <w:ind w:left="1140" w:right="20" w:hanging="383"/>
        <w:spacing w:after="0" w:line="28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Pension Plans or Supplemental Retirement Plans. </w:t>
      </w:r>
      <w:r>
        <w:rPr>
          <w:rFonts w:ascii="Times New Roman" w:cs="Times New Roman" w:eastAsia="Times New Roman" w:hAnsi="Times New Roman"/>
          <w:sz w:val="18"/>
          <w:szCs w:val="18"/>
          <w:color w:val="auto"/>
        </w:rPr>
        <w:t>We do not offer, nor do we have plans to offer, any defined benefit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supplemental retirement plans, or non-qualified deferred compensation plans or arrangements to our NEOs;</w:t>
      </w:r>
    </w:p>
    <w:p>
      <w:pPr>
        <w:spacing w:after="0" w:line="5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Guaranteed Cash Payments. </w:t>
      </w:r>
      <w:r>
        <w:rPr>
          <w:rFonts w:ascii="Times New Roman" w:cs="Times New Roman" w:eastAsia="Times New Roman" w:hAnsi="Times New Roman"/>
          <w:sz w:val="18"/>
          <w:szCs w:val="18"/>
          <w:color w:val="auto"/>
        </w:rPr>
        <w:t>We do not provide our NEOs with guaranteed base salary increases;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w:t>
      </w:r>
      <w:r>
        <w:rPr>
          <w:rFonts w:ascii="Times New Roman" w:cs="Times New Roman" w:eastAsia="Times New Roman" w:hAnsi="Times New Roman"/>
          <w:sz w:val="18"/>
          <w:szCs w:val="18"/>
          <w:color w:val="auto"/>
        </w:rPr>
        <w:t>We do not allow any hedging or pledging by NEOs or directors;</w:t>
      </w:r>
    </w:p>
    <w:p>
      <w:pPr>
        <w:spacing w:after="0" w:line="117" w:lineRule="exact"/>
        <w:rPr>
          <w:rFonts w:ascii="Times New Roman" w:cs="Times New Roman" w:eastAsia="Times New Roman" w:hAnsi="Times New Roman"/>
          <w:sz w:val="18"/>
          <w:szCs w:val="18"/>
          <w:color w:val="auto"/>
        </w:rPr>
      </w:pPr>
    </w:p>
    <w:p>
      <w:pPr>
        <w:ind w:left="1140" w:right="100" w:hanging="383"/>
        <w:spacing w:after="0" w:line="28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Single-Trigger Change-in-Control Benefits. </w:t>
      </w:r>
      <w:r>
        <w:rPr>
          <w:rFonts w:ascii="Times New Roman" w:cs="Times New Roman" w:eastAsia="Times New Roman" w:hAnsi="Times New Roman"/>
          <w:sz w:val="18"/>
          <w:szCs w:val="18"/>
          <w:color w:val="auto"/>
        </w:rPr>
        <w:t>We do not provide for any benefits solely upon a change-in-control. All severance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a change in control are double-trigger and payable only in connection with a related termination; and</w:t>
      </w:r>
    </w:p>
    <w:p>
      <w:pPr>
        <w:spacing w:after="0" w:line="5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Gross-ups. </w:t>
      </w:r>
      <w:r>
        <w:rPr>
          <w:rFonts w:ascii="Times New Roman" w:cs="Times New Roman" w:eastAsia="Times New Roman" w:hAnsi="Times New Roman"/>
          <w:sz w:val="18"/>
          <w:szCs w:val="18"/>
          <w:color w:val="auto"/>
        </w:rPr>
        <w:t>We do not provide gross-up benefits to any of our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Policy</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policy which prohibits our directors, officers and employees from (i) engaging in any hedging transactions involving company securities or from purchasing or selling any put or call option contract or similar instrument with respect to company securities, and (ii) pledging company securities as collateral for a loan or holding such shares in a margin account. For more information, see “</w:t>
      </w:r>
      <w:r>
        <w:rPr>
          <w:rFonts w:ascii="Times New Roman" w:cs="Times New Roman" w:eastAsia="Times New Roman" w:hAnsi="Times New Roman"/>
          <w:sz w:val="18"/>
          <w:szCs w:val="18"/>
          <w:i w:val="1"/>
          <w:iCs w:val="1"/>
          <w:color w:val="auto"/>
        </w:rPr>
        <w:t>Corporate Governance—Policy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Trading, Pledging, and Hedging of Company Stock.</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Compensation Recovery Policy in compliance with the requirements of applicable SEC and Nasdaq rules. If we are required to prepare an accounting restatement due to material non-compliance with any financial reporting requirements, the Compensation Recovery Policy requires (subject to certain limited exceptions described in the policy and permitted by the final clawback rules) that we recover erroneously awarded compensation received by any current or former executive officer in the three fiscal years prior to the date we were required to restate our financial statements that is in excess of the amount that would have been received based on the restated financial statements. For more information, see “</w:t>
      </w:r>
      <w:r>
        <w:rPr>
          <w:rFonts w:ascii="Times New Roman" w:cs="Times New Roman" w:eastAsia="Times New Roman" w:hAnsi="Times New Roman"/>
          <w:sz w:val="18"/>
          <w:szCs w:val="18"/>
          <w:i w:val="1"/>
          <w:iCs w:val="1"/>
          <w:color w:val="auto"/>
        </w:rPr>
        <w:t>Corporate Governance—Compensation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Recovery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Overview</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compensation committee seeks to ensure that our executive compensation program is aligned with the interest of our stockholders and our business goals and that the total compensation paid to each of our Named Executive Officers is fair, reasonable, competitive and aligned with performance conditions. Key elements of our executive compensation program and their purposes include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19"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fixed pay for financial stability and sized to reflect individual responsibilities, experience, contributions and peer company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Bonuses</w:t>
      </w:r>
    </w:p>
    <w:p>
      <w:pPr>
        <w:spacing w:after="0" w:line="119"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variable pay opportunity based on annual quantitative and qualitative company and individual goals.</w:t>
      </w:r>
    </w:p>
    <w:p>
      <w:pPr>
        <w:spacing w:after="0" w:line="117"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motivate the achievement of key short-term strategic and business goals of the Company as well as individual goals. The bonus program is weighted 100% based on achievement of our corporate goals for our Co-Chief Executive Officers and 80% and 20% based on achievement of our corporate goals and individual performance, respectively, for the other Named Executive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employee interests with those of our stockholders over the longer-term.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reward outstanding Company and individual performance by providing meaningful opportunities to participate in value creation.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retention through the use of multi-year vesting.</w:t>
      </w:r>
    </w:p>
    <w:p>
      <w:pPr>
        <w:spacing w:after="0" w:line="117" w:lineRule="exact"/>
        <w:rPr>
          <w:rFonts w:ascii="Times New Roman" w:cs="Times New Roman" w:eastAsia="Times New Roman" w:hAnsi="Times New Roman"/>
          <w:sz w:val="18"/>
          <w:szCs w:val="18"/>
          <w:color w:val="auto"/>
        </w:rPr>
      </w:pPr>
    </w:p>
    <w:p>
      <w:pPr>
        <w:ind w:left="1140" w:right="160" w:hanging="383"/>
        <w:spacing w:after="0" w:line="255"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equity incentives have been granted in the form of time-based stock options and restricted stock units (“RSUs”), subject to multi-year vesting based on continued service. In 2025, our compensation committee granted a portion of each executive’s annual equity incentive awards in the form of one-time PSUs to the executives. The PSUs vest only upon the achievement of specified performance milestones established by the compensation committee. Specifically, 33% of the PSUs vest upon positive avexitide Phase 3 study readout, with the remaining 67% vesting upon FDA approval of avexitide, in each case subject to grantee’s continued service relationship through such vesting dates. In setting these milestones, the compensation committee focused on our most critical corporate objectives, with the intent of closely aligning executive compensation outcomes with the achievement of key strategic milestones.</w:t>
      </w:r>
    </w:p>
    <w:p>
      <w:pPr>
        <w:spacing w:after="0" w:line="8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designed our executive compensation program to embody a pay-for-performance philosophy that supports our business strategy and aligns the interests of our executive officers with our stockholders. We believe this link between compensation and the achievement of our near and long-term business goals has helped drive our performance over time. At the same time, we believe our program does not encourage excessive risk-taking by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of Executive Compensation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Compensation Committee and Board of Directors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role of the compensation committee is to recommend to the board of directors the corporate goals and objectives relevant to the compensation of our Co-Chief Executive Officers, evaluate the performance of the Co-Chief Executive Officers in light of such goals, discharge the board of directors’ responsibilities relating to compensation of our other executive officers, and oversee our overall compensation structure, policies and programs.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primary objective of the compensation committee is to develop and implement compensation policies and plans that ensure the attraction and retention of key management personnel, the motivation of management to achieve our corporate goals and strategies, and the alignment of the interests of management with the long-term interests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fulfilling its duties, the compensation committee recognizes that there is value in procuring independent, objective expertise and counsel, and has the authority to retain an independent compensation consultant to assist it in carrying out its responsibilities and duties. Our compensation committee engaged Pearl Meyer as its independent compensation consultant to advise on executive compensation matters for 2025, including overall compensation program design, peer group development and updates, and director and executive compensation benchmarking.</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develop our compensation programs after reviewing publicly available compensation data from our peer group, as provided by Pearl Meyer. The board of directors and the compensation committee consider Pearl Meyer’s data, analysis and recommendations on compensation matters as they deem appropriate.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Pearl Meyer reports directly to our compensation committee and the committee has the sole authority to retain, terminate and obtain the advice of Pearl Meyer at the Company’s expense. Our compensation committee has assessed the independence of Pearl Meyer consistent with Nasdaq listing standards and has concluded that the engagement of Pearl Meyer does not raise any conflicts of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assists the board of directors and compensation committee by providing information on corporate and individual performance, and management’s perspective on compensation matters. Our Co-Chief Executive Officers provide input on program structures, as well as proposals for adjustments to annual cash compensation, long-term incentive compensation opportunities, and other compensation-related matters for our executive team (except with respect to their own compensation) based on an evaluation of performance for the prior year. The compensation committee reviews and discusses these recommendations and considers them as one factor in determining and approving the compensation of our Named Executive Officers.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Defining and Comparing Compensation to Market Benchmarks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evaluating pay levels and practices for our NEOs, our compensation committee references market data from a “peer” group of comparable public companies that is recommended by Pearl Meyer. The primary selection criteria used to develop the peer group are industry, valuation, stage, and size. Following the topline results from the Phase 3 PHOENIX trial and our subsequent acquisition of avexitide, we revamped our peer group to consist of clinical-stage companies of comparable market capitalization. In September 2024, our compensation committee approved the companies listed below to be the peer group for compensation determinations for fiscal year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15"/>
                <w:szCs w:val="15"/>
                <w:color w:val="auto"/>
              </w:rPr>
            </w:pPr>
          </w:p>
        </w:tc>
        <w:tc>
          <w:tcPr>
            <w:tcW w:w="77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Peer Group</w:t>
            </w:r>
          </w:p>
        </w:tc>
      </w:tr>
      <w:tr>
        <w:trPr>
          <w:trHeight w:val="142"/>
        </w:trPr>
        <w:tc>
          <w:tcPr>
            <w:tcW w:w="3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Aclaris Therapeutics, Inc.</w:t>
            </w:r>
          </w:p>
        </w:tc>
        <w:tc>
          <w:tcPr>
            <w:tcW w:w="7700" w:type="dxa"/>
            <w:vAlign w:val="bottom"/>
            <w:shd w:val="clear" w:color="auto" w:fill="CFF0FC"/>
          </w:tcPr>
          <w:p>
            <w:pPr>
              <w:ind w:left="2080"/>
              <w:spacing w:after="0" w:line="142" w:lineRule="exact"/>
              <w:rPr>
                <w:sz w:val="20"/>
                <w:szCs w:val="20"/>
                <w:color w:val="auto"/>
              </w:rPr>
            </w:pPr>
            <w:r>
              <w:rPr>
                <w:rFonts w:ascii="Times New Roman" w:cs="Times New Roman" w:eastAsia="Times New Roman" w:hAnsi="Times New Roman"/>
                <w:sz w:val="14"/>
                <w:szCs w:val="14"/>
                <w:color w:val="auto"/>
              </w:rPr>
              <w:t>Immunic, Inc.</w:t>
            </w: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Adverum Biotechnologies, Inc.</w:t>
            </w:r>
          </w:p>
        </w:tc>
        <w:tc>
          <w:tcPr>
            <w:tcW w:w="770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Inozyme Pharma, Inc.</w:t>
            </w:r>
          </w:p>
        </w:tc>
      </w:tr>
      <w:tr>
        <w:trPr>
          <w:trHeight w:val="148"/>
        </w:trPr>
        <w:tc>
          <w:tcPr>
            <w:tcW w:w="3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aTyr Pharma, Inc</w:t>
            </w:r>
          </w:p>
        </w:tc>
        <w:tc>
          <w:tcPr>
            <w:tcW w:w="770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PepGen Inc.</w:t>
            </w: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Aura Biosciences, Inc.</w:t>
            </w:r>
          </w:p>
        </w:tc>
        <w:tc>
          <w:tcPr>
            <w:tcW w:w="770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Pyxis Oncology, Inc.</w:t>
            </w:r>
          </w:p>
        </w:tc>
      </w:tr>
      <w:tr>
        <w:trPr>
          <w:trHeight w:val="149"/>
        </w:trPr>
        <w:tc>
          <w:tcPr>
            <w:tcW w:w="3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BioAtla, Inc.</w:t>
            </w:r>
          </w:p>
        </w:tc>
        <w:tc>
          <w:tcPr>
            <w:tcW w:w="770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RAPT Therapeutics, Inc.</w:t>
            </w: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Biomea Fusion, Inc.</w:t>
            </w:r>
          </w:p>
        </w:tc>
        <w:tc>
          <w:tcPr>
            <w:tcW w:w="770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Syros Pharmaceuticals, Inc.</w:t>
            </w:r>
          </w:p>
        </w:tc>
      </w:tr>
      <w:tr>
        <w:trPr>
          <w:trHeight w:val="148"/>
        </w:trPr>
        <w:tc>
          <w:tcPr>
            <w:tcW w:w="3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Chimerix, Inc.</w:t>
            </w:r>
          </w:p>
        </w:tc>
        <w:tc>
          <w:tcPr>
            <w:tcW w:w="770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Verastem, Inc.</w:t>
            </w: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CytomX Therapeutics, Inc.</w:t>
            </w:r>
          </w:p>
        </w:tc>
        <w:tc>
          <w:tcPr>
            <w:tcW w:w="770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Vigil Neuroscience, Inc.</w:t>
            </w:r>
          </w:p>
        </w:tc>
      </w:tr>
      <w:tr>
        <w:trPr>
          <w:trHeight w:val="148"/>
        </w:trPr>
        <w:tc>
          <w:tcPr>
            <w:tcW w:w="3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Gossamer Bio, Inc.</w:t>
            </w:r>
          </w:p>
        </w:tc>
        <w:tc>
          <w:tcPr>
            <w:tcW w:w="770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XBiotech Inc.</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Say-On-Pay Advisory Vote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our June 5, 2025 annual meeting, we held our most recent “Say-on-Pay” advisory vote on the compensation of our NEOs, which received the support of approximately 58% of the votes cast. Although this is a non-binding advisory vote, because we value the opinion of our stockholders, the board of directors compensation committee has considered the results of the vote and continually evaluates our core compensation principles and objectives, including taking into account feedback received through informal stockholder communications and the results of future “Say-on-Pay” votes, when determining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Elements of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salaries of our NEOs annually. We also assess salaries at the time of hire, promotion or other change in responsibilities. In establishing and adjusting executive salaries, the compensation committee considers information regarding base salaries paid by our peer group and the individual performance and position of the executive officer. In light of our transition in 2024, our compensation committee determined not to provide any salary adjustments for our NEOs in 2025.</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2024 and 2025 base salaries of each Named Executive Officer and the percentage increase from 2024 to 2025 are shown in the following table. As noted above, there were no increases to executive salaries from 2024 to 2025 to reflect the changed position of the Company following the removal of our only commercial product from the market.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2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 Salary ($)</w:t>
            </w:r>
          </w:p>
        </w:tc>
        <w:tc>
          <w:tcPr>
            <w:tcW w:w="420" w:type="dxa"/>
            <w:vAlign w:val="bottom"/>
          </w:tcPr>
          <w:p>
            <w:pPr>
              <w:spacing w:after="0"/>
              <w:rPr>
                <w:sz w:val="15"/>
                <w:szCs w:val="15"/>
                <w:color w:val="auto"/>
              </w:rPr>
            </w:pPr>
          </w:p>
        </w:tc>
        <w:tc>
          <w:tcPr>
            <w:tcW w:w="21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 Salary ($)</w:t>
            </w:r>
          </w:p>
        </w:tc>
        <w:tc>
          <w:tcPr>
            <w:tcW w:w="280" w:type="dxa"/>
            <w:vAlign w:val="bottom"/>
          </w:tcPr>
          <w:p>
            <w:pPr>
              <w:spacing w:after="0"/>
              <w:rPr>
                <w:sz w:val="15"/>
                <w:szCs w:val="15"/>
                <w:color w:val="auto"/>
              </w:rPr>
            </w:pPr>
          </w:p>
        </w:tc>
        <w:tc>
          <w:tcPr>
            <w:tcW w:w="2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40" w:type="dxa"/>
            <w:vAlign w:val="bottom"/>
          </w:tcPr>
          <w:p>
            <w:pPr>
              <w:spacing w:after="0"/>
              <w:rPr>
                <w:sz w:val="15"/>
                <w:szCs w:val="15"/>
                <w:color w:val="auto"/>
              </w:rPr>
            </w:pPr>
          </w:p>
        </w:tc>
      </w:tr>
      <w:tr>
        <w:trPr>
          <w:trHeight w:val="142"/>
        </w:trPr>
        <w:tc>
          <w:tcPr>
            <w:tcW w:w="3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Joshua Cohen</w:t>
            </w:r>
          </w:p>
        </w:tc>
        <w:tc>
          <w:tcPr>
            <w:tcW w:w="2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686,200</w:t>
            </w:r>
          </w:p>
        </w:tc>
        <w:tc>
          <w:tcPr>
            <w:tcW w:w="26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686,200</w:t>
            </w:r>
          </w:p>
        </w:tc>
        <w:tc>
          <w:tcPr>
            <w:tcW w:w="26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0.0%</w:t>
            </w: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Justin Klee</w:t>
            </w:r>
          </w:p>
        </w:tc>
        <w:tc>
          <w:tcPr>
            <w:tcW w:w="2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686,200</w:t>
            </w:r>
          </w:p>
        </w:tc>
        <w:tc>
          <w:tcPr>
            <w:tcW w:w="2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686,200</w:t>
            </w:r>
          </w:p>
        </w:tc>
        <w:tc>
          <w:tcPr>
            <w:tcW w:w="2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w:t>
            </w:r>
          </w:p>
        </w:tc>
      </w:tr>
      <w:tr>
        <w:trPr>
          <w:trHeight w:val="148"/>
        </w:trPr>
        <w:tc>
          <w:tcPr>
            <w:tcW w:w="3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Frates</w:t>
            </w:r>
          </w:p>
        </w:tc>
        <w:tc>
          <w:tcPr>
            <w:tcW w:w="2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540,600</w:t>
            </w:r>
          </w:p>
        </w:tc>
        <w:tc>
          <w:tcPr>
            <w:tcW w:w="2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540,600</w:t>
            </w:r>
          </w:p>
        </w:tc>
        <w:tc>
          <w:tcPr>
            <w:tcW w:w="262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w:t>
            </w:r>
          </w:p>
        </w:tc>
      </w:tr>
      <w:tr>
        <w:trPr>
          <w:trHeight w:val="18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Camille L. Bedrosian, M.D.</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 formal bonus program that is reviewed and approved annually by the compensation committee and designed to capture the needs of the business. The bonus program balances our emphasis on pay-for-performance with our stage as a late clinical stage publicly-traded company and provides a scalable approach. The bonus program is weighted 100% based on achievement of our corporate goals for our Co-Chief Executive Officers and 80% and 20% based on achievement of our corporate goals and individual performance, respectively, for the other Named Executive Officers.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2025, with input from our Co-Chief Executive Officers and the board of directors, we established overall corporate goals against which the performance of our NEOs would be measured for purposes of determining their 2025 bonus payments. In establishing the 2025 corporate goals, we focused on objectives likely to bring both short-term and long-term stockholder value. Although our corporate goals are intended to be achievable with significant effort, they are substantially uncertain to be achieved and, as a result, we do not expect that every goal will actually be attained in any given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2025, bonuses may be earned at levels ranging from 0% to 150% of the applicable target amount. The target bonus opportunity for each NEO is set forth 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vMerge w:val="restart"/>
          </w:tcPr>
          <w:p>
            <w:pPr>
              <w:spacing w:after="0"/>
              <w:rPr>
                <w:sz w:val="15"/>
                <w:szCs w:val="15"/>
                <w:color w:val="auto"/>
              </w:rPr>
            </w:pPr>
          </w:p>
        </w:tc>
        <w:tc>
          <w:tcPr>
            <w:tcW w:w="4280" w:type="dxa"/>
            <w:vAlign w:val="bottom"/>
            <w:tcBorders>
              <w:bottom w:val="single" w:sz="8" w:color="auto"/>
            </w:tcBorders>
            <w:gridSpan w:val="3"/>
          </w:tcPr>
          <w:p>
            <w:pPr>
              <w:ind w:left="2260"/>
              <w:spacing w:after="0"/>
              <w:rPr>
                <w:sz w:val="20"/>
                <w:szCs w:val="20"/>
                <w:color w:val="auto"/>
              </w:rPr>
            </w:pPr>
            <w:r>
              <w:rPr>
                <w:rFonts w:ascii="Times New Roman" w:cs="Times New Roman" w:eastAsia="Times New Roman" w:hAnsi="Times New Roman"/>
                <w:sz w:val="14"/>
                <w:szCs w:val="14"/>
                <w:b w:val="1"/>
                <w:bCs w:val="1"/>
                <w:color w:val="auto"/>
              </w:rPr>
              <w:t>2025 Target Annual Bonus</w:t>
            </w:r>
          </w:p>
        </w:tc>
        <w:tc>
          <w:tcPr>
            <w:tcW w:w="1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780" w:type="dxa"/>
            <w:vAlign w:val="bottom"/>
            <w:tcBorders>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Base Salary</w:t>
            </w:r>
          </w:p>
        </w:tc>
        <w:tc>
          <w:tcPr>
            <w:tcW w:w="5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1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Joshua Cohen</w:t>
            </w:r>
          </w:p>
        </w:tc>
        <w:tc>
          <w:tcPr>
            <w:tcW w:w="3320" w:type="dxa"/>
            <w:vAlign w:val="bottom"/>
            <w:gridSpan w:val="2"/>
            <w:shd w:val="clear" w:color="auto" w:fill="CFF0FC"/>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96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514,650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Justin Klee</w:t>
            </w:r>
          </w:p>
        </w:tc>
        <w:tc>
          <w:tcPr>
            <w:tcW w:w="33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96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Frates</w:t>
            </w:r>
          </w:p>
        </w:tc>
        <w:tc>
          <w:tcPr>
            <w:tcW w:w="33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96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Camille L. Bedrosian, M.D.</w:t>
            </w:r>
          </w:p>
        </w:tc>
        <w:tc>
          <w:tcPr>
            <w:tcW w:w="3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45%</w:t>
            </w:r>
          </w:p>
        </w:tc>
        <w:tc>
          <w:tcPr>
            <w:tcW w:w="9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the compensation committee evaluated corporate performance across our key strategic pillars as described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424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80" w:type="dxa"/>
            <w:vAlign w:val="bottom"/>
          </w:tcPr>
          <w:p>
            <w:pPr>
              <w:spacing w:after="0"/>
              <w:rPr>
                <w:sz w:val="15"/>
                <w:szCs w:val="15"/>
                <w:color w:val="auto"/>
              </w:rPr>
            </w:pPr>
          </w:p>
        </w:tc>
        <w:tc>
          <w:tcPr>
            <w:tcW w:w="23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Weighting</w:t>
            </w:r>
          </w:p>
        </w:tc>
      </w:tr>
      <w:tr>
        <w:trPr>
          <w:trHeight w:val="142"/>
        </w:trPr>
        <w:tc>
          <w:tcPr>
            <w:tcW w:w="87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 Goals</w:t>
            </w:r>
          </w:p>
        </w:tc>
        <w:tc>
          <w:tcPr>
            <w:tcW w:w="180" w:type="dxa"/>
            <w:vAlign w:val="bottom"/>
            <w:shd w:val="clear" w:color="auto" w:fill="CFF0FC"/>
          </w:tcPr>
          <w:p>
            <w:pPr>
              <w:spacing w:after="0"/>
              <w:rPr>
                <w:sz w:val="12"/>
                <w:szCs w:val="12"/>
                <w:color w:val="auto"/>
              </w:rPr>
            </w:pPr>
          </w:p>
        </w:tc>
        <w:tc>
          <w:tcPr>
            <w:tcW w:w="2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8"/>
        </w:trPr>
        <w:tc>
          <w:tcPr>
            <w:tcW w:w="87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and Execute on Lead Program Avexitide</w:t>
            </w:r>
          </w:p>
        </w:tc>
        <w:tc>
          <w:tcPr>
            <w:tcW w:w="24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50.0%</w:t>
            </w:r>
          </w:p>
        </w:tc>
      </w:tr>
      <w:tr>
        <w:trPr>
          <w:trHeight w:val="148"/>
        </w:trPr>
        <w:tc>
          <w:tcPr>
            <w:tcW w:w="87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Ensure Adequate Runway and Financial Resources</w:t>
            </w:r>
          </w:p>
        </w:tc>
        <w:tc>
          <w:tcPr>
            <w:tcW w:w="248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8"/>
        </w:trPr>
        <w:tc>
          <w:tcPr>
            <w:tcW w:w="87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and Execute on Pipeline Programs</w:t>
            </w:r>
          </w:p>
        </w:tc>
        <w:tc>
          <w:tcPr>
            <w:tcW w:w="24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w:t>
            </w:r>
          </w:p>
        </w:tc>
      </w:tr>
      <w:tr>
        <w:trPr>
          <w:trHeight w:val="148"/>
        </w:trPr>
        <w:tc>
          <w:tcPr>
            <w:tcW w:w="87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Operate with High Quality, in a People-Centric Culture, Focused on our Mission</w:t>
            </w:r>
          </w:p>
        </w:tc>
        <w:tc>
          <w:tcPr>
            <w:tcW w:w="248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w:t>
            </w:r>
          </w:p>
        </w:tc>
      </w:tr>
      <w:tr>
        <w:trPr>
          <w:trHeight w:val="190"/>
        </w:trPr>
        <w:tc>
          <w:tcPr>
            <w:tcW w:w="8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w:t>
            </w:r>
          </w:p>
        </w:tc>
      </w:tr>
    </w:tbl>
    <w:p>
      <w:pPr>
        <w:spacing w:after="0" w:line="15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Based on the recommendation from the compensation committee, the board of directors approved an overall achievement rate of 106.5%, reflecting strong performance against our stated corporate goals, success in executing two significant financings, strong progress in enrolling our Phase 3 trial for avexitide in PBH, maintaining a strong pipeline of assets, and effective leadership in fostering a strong, people-centric culture that motivated and retained talent with minimal attrition during a pivotal year for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that equity incentive awards provide our NEOs with a strong link to our long-term performance, create an ownership culture and help to align the interests of our NEOs and our stockholders. In addition, we believe that equity grants with a time-based vesting feature promote executive retention because this feature incents our NEOs to remain in our employment during the vesting period.</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compensation committee typically grants, or recommends that the board of directors grant, long-term equity incentive awards for Named Executive Officers at the start of their employment, and annually thereafter in connection with their annual performance review. Additionally, the compensation committee or board of directors may periodically, on a limited and judicious basis, grant additional equity incentive awards based on individual role, performance and contribution, as well as competitive market data and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Equity Incentive Awards</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For 2025, the long-term equity incentive component of each Named Executive Officer’s compensation was partially in the form of stock options, partially in the form of RSUs and partially in the form of one-time PSUs. Each stock option vests over four years, with 25% of the shares subject to the option vesting on the first anniversary of the date of grant and the remaining shares vesting in 36 equal monthly installments thereafter. Each RSU award vests in equal annual installments over four years. Each PSU award vests only upon the achievement of specified performance milestones established by the compensation committee. Specifically, 33% of the PSUs vest upon positive avexitide Phase 3 study readout, with the remaining 67% vesting upon FDA approval of avexitide, in each case subject to grantee’s continued service relationship through such vesting dates. In setting these milestones, the compensation committee focused on our most critical corporate objectives, with the intent of closely aligning executive compensation outcomes with the achievement of key strategic milestones. The following table sets forth number of shares for each such award granted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117"/>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10"/>
                <w:szCs w:val="10"/>
                <w:color w:val="auto"/>
              </w:rPr>
            </w:pPr>
          </w:p>
        </w:tc>
        <w:tc>
          <w:tcPr>
            <w:tcW w:w="1700" w:type="dxa"/>
            <w:vAlign w:val="bottom"/>
            <w:tcBorders>
              <w:top w:val="single" w:sz="8" w:color="auto"/>
            </w:tcBorders>
          </w:tcPr>
          <w:p>
            <w:pPr>
              <w:jc w:val="center"/>
              <w:ind w:left="43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tcBorders>
              <w:top w:val="single" w:sz="8" w:color="auto"/>
            </w:tcBorders>
          </w:tcPr>
          <w:p>
            <w:pPr>
              <w:jc w:val="center"/>
              <w:ind w:left="41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7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Joshua Cohen</w:t>
            </w:r>
          </w:p>
        </w:tc>
        <w:tc>
          <w:tcPr>
            <w:tcW w:w="17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270,177</w:t>
            </w: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180,118</w:t>
            </w:r>
          </w:p>
        </w:tc>
        <w:tc>
          <w:tcPr>
            <w:tcW w:w="24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Justin Klee</w:t>
            </w:r>
          </w:p>
        </w:tc>
        <w:tc>
          <w:tcPr>
            <w:tcW w:w="17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270,177</w:t>
            </w: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180,118</w:t>
            </w:r>
          </w:p>
        </w:tc>
        <w:tc>
          <w:tcPr>
            <w:tcW w:w="2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Frates</w:t>
            </w:r>
          </w:p>
        </w:tc>
        <w:tc>
          <w:tcPr>
            <w:tcW w:w="17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102,630</w:t>
            </w:r>
          </w:p>
        </w:tc>
        <w:tc>
          <w:tcPr>
            <w:tcW w:w="3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68,420</w:t>
            </w:r>
          </w:p>
        </w:tc>
        <w:tc>
          <w:tcPr>
            <w:tcW w:w="24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Camille L. Bedrosian, M.D.</w:t>
            </w:r>
          </w:p>
        </w:tc>
        <w:tc>
          <w:tcPr>
            <w:tcW w:w="17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102,630</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68,420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PSU milestones have not been achieved and the awards remained outstanding in full.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Retirement Plans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maintain a tax-qualified 401(k) plan that provides eligible U.S. employees with an opportunity to save for retirement on a tax-advantaged basis. Plan participants are able to defer eligible compensation subject to applicable annual Internal Revenue Code limits. We provide a safe-harbor contribution equal to 5% of each employee’s compensation to employees who satisfy the minimum service requirements. The percentage of company contributions for eligible Named Executive Officers are the same percentage as for other eligible employees.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Perquisites and Welfare Benefits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 Additionally, pursuant to Dr. Bedrosian’s employment agreement, we provide her with reimbursement of travel-related expenses in connection with her travel to and from San Rafael, California to our headquarters.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provide our Named Executive Officers with automobiles or reimbursement for country clubs, financial planning or things of a similar 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which provide for “at will” employment. For additional information regarding the material terms of each Named Executive Officer’s employment agreement, please see the section below titled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with our Named Executive Officers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our executive compensation program does not encourage excessive or unnecessary risk taking. We structure our pay to consist of both fixed and variable compensation. We believe this structure motivates our executive officers to produce superior short and long-term results that are in the best interests of our company and stockholders. We have established, and our compensation committee endorses, these structures in order to address and mitigate compensation related risk. As a result, we do not believe that our compensation programs are reasonably likely to have a material adverse effect on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Agreements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68"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bylaws provide that:</w:t>
      </w:r>
    </w:p>
    <w:p>
      <w:pPr>
        <w:spacing w:after="0" w:line="117" w:lineRule="exact"/>
        <w:rPr>
          <w:sz w:val="20"/>
          <w:szCs w:val="20"/>
          <w:color w:val="auto"/>
        </w:rPr>
      </w:pPr>
    </w:p>
    <w:p>
      <w:pPr>
        <w:ind w:left="1140" w:right="6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53" w:lineRule="exact"/>
        <w:rPr>
          <w:rFonts w:ascii="Times New Roman" w:cs="Times New Roman" w:eastAsia="Times New Roman" w:hAnsi="Times New Roman"/>
          <w:sz w:val="18"/>
          <w:szCs w:val="18"/>
          <w:color w:val="auto"/>
        </w:rPr>
      </w:pPr>
    </w:p>
    <w:p>
      <w:pPr>
        <w:jc w:val="both"/>
        <w:ind w:left="1140" w:right="500" w:hanging="383"/>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2025 fiscal year, Paul Fonteyne, George Mclean Milne Jr., Ph.D., and Daphne Quimi served as members of our compensation committee. None of the members of our compensation committee is, or has ever been, an officer or employee of our company. During the 2025 fiscal year, no executive officer of our company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w:t>
      </w:r>
    </w:p>
    <w:p>
      <w:pPr>
        <w:spacing w:after="0" w:line="3" w:lineRule="exact"/>
        <w:rPr>
          <w:sz w:val="20"/>
          <w:szCs w:val="20"/>
          <w:color w:val="auto"/>
        </w:rPr>
      </w:pPr>
    </w:p>
    <w:p>
      <w:pPr>
        <w:ind w:right="180" w:firstLine="8"/>
        <w:spacing w:after="0" w:line="255"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of our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NEOs in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1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($)(1)</w:t>
            </w:r>
          </w:p>
        </w:tc>
        <w:tc>
          <w:tcPr>
            <w:tcW w:w="11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($)(2)</w:t>
            </w:r>
          </w:p>
        </w:tc>
        <w:tc>
          <w:tcPr>
            <w:tcW w:w="11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($)(3)</w:t>
            </w:r>
          </w:p>
        </w:tc>
        <w:tc>
          <w:tcPr>
            <w:tcW w:w="12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4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3"/>
                <w:szCs w:val="13"/>
                <w:color w:val="auto"/>
              </w:rPr>
              <w:t>Joshua Cohen</w:t>
            </w:r>
          </w:p>
        </w:tc>
        <w:tc>
          <w:tcPr>
            <w:tcW w:w="120" w:type="dxa"/>
            <w:vAlign w:val="bottom"/>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Co-Chief Executive Officer</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686,200</w:t>
            </w:r>
          </w:p>
        </w:tc>
        <w:tc>
          <w:tcPr>
            <w:tcW w:w="2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650,226</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817,783</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548,098</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2,719,807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4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and Director</w:t>
            </w:r>
          </w:p>
        </w:tc>
        <w:tc>
          <w:tcPr>
            <w:tcW w:w="1180" w:type="dxa"/>
            <w:vAlign w:val="bottom"/>
            <w:gridSpan w:val="2"/>
            <w:vMerge w:val="continue"/>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1160" w:type="dxa"/>
            <w:vAlign w:val="bottom"/>
            <w:gridSpan w:val="2"/>
            <w:vMerge w:val="continue"/>
            <w:shd w:val="clear" w:color="auto" w:fill="CFF0FC"/>
          </w:tcPr>
          <w:p>
            <w:pPr>
              <w:spacing w:after="0"/>
              <w:rPr>
                <w:sz w:val="13"/>
                <w:szCs w:val="13"/>
                <w:color w:val="auto"/>
              </w:rPr>
            </w:pPr>
          </w:p>
        </w:tc>
        <w:tc>
          <w:tcPr>
            <w:tcW w:w="1140" w:type="dxa"/>
            <w:vAlign w:val="bottom"/>
            <w:gridSpan w:val="2"/>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686,200</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2,585,771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2,685,179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521,855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17,250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6,496,255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Justin Klee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Co-Chief Executive Officer</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686,200</w:t>
            </w:r>
          </w:p>
        </w:tc>
        <w:tc>
          <w:tcPr>
            <w:tcW w:w="240" w:type="dxa"/>
            <w:vAlign w:val="bottom"/>
          </w:tcPr>
          <w:p>
            <w:pPr>
              <w:spacing w:after="0"/>
              <w:rPr>
                <w:sz w:val="12"/>
                <w:szCs w:val="12"/>
                <w:color w:val="auto"/>
              </w:rPr>
            </w:pPr>
          </w:p>
        </w:tc>
        <w:tc>
          <w:tcPr>
            <w:tcW w:w="9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650,226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817,783</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548,098</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2,719,807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4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and Director</w:t>
            </w:r>
          </w:p>
        </w:tc>
        <w:tc>
          <w:tcPr>
            <w:tcW w:w="118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686,200</w:t>
            </w:r>
          </w:p>
        </w:tc>
        <w:tc>
          <w:tcPr>
            <w:tcW w:w="24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2,585,771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2,685,179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521,855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6,496,255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James Frates</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540,600</w:t>
            </w:r>
          </w:p>
        </w:tc>
        <w:tc>
          <w:tcPr>
            <w:tcW w:w="24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246,996</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311,148</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259,083</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1,375,327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74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180" w:type="dxa"/>
            <w:vAlign w:val="bottom"/>
            <w:gridSpan w:val="2"/>
            <w:vMerge w:val="continue"/>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1160" w:type="dxa"/>
            <w:vAlign w:val="bottom"/>
            <w:gridSpan w:val="2"/>
            <w:vMerge w:val="continue"/>
            <w:shd w:val="clear" w:color="auto" w:fill="CFF0FC"/>
          </w:tcPr>
          <w:p>
            <w:pPr>
              <w:spacing w:after="0"/>
              <w:rPr>
                <w:sz w:val="13"/>
                <w:szCs w:val="13"/>
                <w:color w:val="auto"/>
              </w:rPr>
            </w:pPr>
          </w:p>
        </w:tc>
        <w:tc>
          <w:tcPr>
            <w:tcW w:w="1140" w:type="dxa"/>
            <w:vAlign w:val="bottom"/>
            <w:gridSpan w:val="2"/>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540,600</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885,672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848,404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248,427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17,250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2,540,353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Camille L. Bedrosian, M.D.</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40" w:type="dxa"/>
            <w:vAlign w:val="bottom"/>
          </w:tcPr>
          <w:p>
            <w:pPr>
              <w:spacing w:after="0"/>
              <w:rPr>
                <w:sz w:val="12"/>
                <w:szCs w:val="12"/>
                <w:color w:val="auto"/>
              </w:rPr>
            </w:pPr>
          </w:p>
        </w:tc>
        <w:tc>
          <w:tcPr>
            <w:tcW w:w="9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246,996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312,872</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275,569</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157,237</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1,567,674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11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8572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2" w:lineRule="exact"/>
        <w:rPr>
          <w:sz w:val="20"/>
          <w:szCs w:val="20"/>
          <w:color w:val="auto"/>
        </w:rPr>
      </w:pPr>
    </w:p>
    <w:p>
      <w:pPr>
        <w:ind w:left="520" w:hanging="512"/>
        <w:spacing w:after="0" w:line="265" w:lineRule="auto"/>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shown reflect the grant date fair value of RSUs awarded during fiscal years 2025 and 2024, and PSUs awarded during fiscal year 2025, in each case, determined in accordance with Financial Accounting Standards Board, Accounting Standards Codification Topic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(“FASB ASC Topic 718”). Such grant date fair values do not take into account any estimated forfeitures related to service-based vesting conditions. The assumptions used in calculating the grant date fair value of the awards reported in this column are set forth in Note 10 to our consolidated financial statements included in our 2025 Annual Report. The amounts reported in this column reflect the accounting cost for the RSUs and PSUs and do not correspond to the actual economic value that may be received upon vesting or settlement of the RSUs or PSUs, or sale of any of the underlying shares of common stock. For PSUs granted during 2025, we determined that, as of the respective grant dates, it was not probable (as defined under applicable accounting standards) that any of the performance conditions would be achieved and, as a result, we assigned a grant date fair value of $0. The value of such PSUs at the grant date, assuming all performance conditions are achieved, is equal to $650,226 for Mr. Cohen, $650,226 for Mr. Klee, $246,996 for Mr. Frates, and $246,996 for Dr. Bedrosian.</w:t>
      </w:r>
    </w:p>
    <w:p>
      <w:pPr>
        <w:spacing w:after="0" w:line="1" w:lineRule="exact"/>
        <w:rPr>
          <w:rFonts w:ascii="Times New Roman" w:cs="Times New Roman" w:eastAsia="Times New Roman" w:hAnsi="Times New Roman"/>
          <w:sz w:val="16"/>
          <w:szCs w:val="16"/>
          <w:color w:val="auto"/>
        </w:rPr>
      </w:pPr>
    </w:p>
    <w:p>
      <w:pPr>
        <w:ind w:left="520" w:hanging="512"/>
        <w:spacing w:after="0" w:line="264" w:lineRule="auto"/>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aggregate grant date fair value of the stock options awarded to the NEOs and the incremental fair value of option awards materially modified during fiscal years 2025 and 2024, calculated in accordance with FASB ASC Topic 718. Such grant date fair value does not take into account any estimated forfeitures related to service-based vesting conditions. The assumptions used in calculating the grant date fair value of the awards reported in this column are set forth in Note 10 to our consolidated financial statements included in our 2025 Annual Report. The amounts reported in this column reflect the accounting cost for the stock options and do not correspond to the actual economic value that may be received upon vesting or exercise of the stock options or sale of any of the underlying shares of common stock.</w:t>
      </w:r>
    </w:p>
    <w:p>
      <w:pPr>
        <w:ind w:left="520" w:right="580" w:hanging="512"/>
        <w:spacing w:after="0" w:line="264" w:lineRule="auto"/>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annual incentive bonuses earned in 2025 and 2024 and paid in February 2026 and February 2025, respectively, based on the achievement of pre-established performance goals as determined by our board of directors.</w:t>
      </w:r>
    </w:p>
    <w:p>
      <w:pPr>
        <w:ind w:left="520" w:right="140" w:hanging="512"/>
        <w:spacing w:after="0" w:line="264" w:lineRule="auto"/>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the amounts reported in the “All Other Compensation” column represent safe harbor employer contributions under our 401(k) Plan. For Dr. Bedrosian, amount reported for fiscal year 2025 includes reimbursement of travel-related expenses to and from San Rafael, California to our headquarters.</w:t>
      </w:r>
    </w:p>
    <w:p>
      <w:pPr>
        <w:ind w:left="520" w:hanging="512"/>
        <w:spacing w:after="0"/>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Bedrosian was not a Named Executive Officer for 2024, and accordingly compensation information is only disclosed for 2025.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our Named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material terms of the employment agreements with each of our NEOs.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Joshua Cohen</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our IPO, we entered into an employment agreement with Mr. Cohen which became effective on January 6, 2022, the closing of our IPO, pursuant to which we employ Mr. Cohen as our Co-Chief Executive Officer on an “at-will” basis. Mr. Cohen’s employment agreement provides that his annual base salary is subject to periodic review by our board of directors or compensation committee. In addition, the employment agreement provides that Mr. Cohen is eligible to receive cash incentive compensation as determined by our board of directors or compensation committee. Mr. Cohen is also eligible to participate in our employee benefit plans generally in effect from time to time, subject to the terms and conditions of such plans.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 termination of Mr. Cohen’s employment by the Company without “cause” or by Mr. Cohen for “good reason” (as such terms are defined in his employment agreement), subject to Mr. Cohen’s execution and non-revocation of a separation agreement and release of claims, Mr. Cohen will be entitled to receive (i) cash severance equal to the sum of twelve (12) months of base salary, plus a pro-rated portion of his target bonus for the year in which his termination occurs, payable in substantially equal installments over twelve (12) months following his date of termination, (ii) acceleration of time-based equity awards that would have become fully vested and exercisable or nonforfeitable had Mr. Cohen remained employed by the Company for the twelve</w:t>
      </w:r>
    </w:p>
    <w:p>
      <w:pPr>
        <w:spacing w:after="0" w:line="3"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immediately following the date of termination, and (iii) subject to Mr. Cohen’s election to receive continued health benefits under</w:t>
      </w:r>
    </w:p>
    <w:p>
      <w:pPr>
        <w:spacing w:after="0" w:line="9"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and copayment of premium amounts at the applicable active employees’ rate, monthly payments equal to employer contribution amount that the Company would have made to provide health insurance to Mr. Cohen if he had remained employed by the Company until the earliest of (A) twelve (12) months following termination; (B) the date he becomes eligible for group medical plan benefits under any other employer’s group medical plan; or (C) the expiration of Mr. Cohen’s COBRA health continuation period.</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above, in the event that Mr. Cohen’s employment is terminated by us without “cause,” or by him for “good reason,” in each case, within three (3) months prior to or twelve (12) months following a “change in control” (as defined in his employment agreement), and subject to Mr. Cohen’s execution and non-revocation of a separation agreement and release of claims, Mr. Cohen will be entitled to receive (i) a lump sum in cash equal to 1.5 times the sum of Mr. Cohen’s then current base salary (or the base salary in effect immediately prior to the change in control, if higher) plus Mr. Cohen’s target bonus for the year of termination (or the target bonus in effect immediately prior to the change in control, if higher); (ii) full acceleration of vesting of all time-based equity awards (including any performance-based awards that were converted to time-based awards in connection with the change in control and are then outstanding and eligible to vest based on Mr. Cohen’s continued employment); and (iii) subject to Mr. Cohen’s election to receive continued health benefits under COBRA and copayment of premium amounts at the active employees’ rate, monthly payments equal to employer contribution amount that the Company would have made to provide health insurance to Mr. Cohen if he had remained employed by the Company until the earliest of (A) eighteen (18) months following termination; (B) the date he becomes eligible for group medical plan benefits under any other employer’s group medical plan; or (C) the expiration of Mr. Cohen’s COBRA health continuation period.</w:t>
      </w:r>
    </w:p>
    <w:p>
      <w:pPr>
        <w:spacing w:after="0" w:line="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upon a “change in control” (as defined in Mr. Cohen’s employment agreement), except as otherwise set forth in the applicable equity award agreement, any equity awards with performance-based conditions and restrictions, or “performance-based equity awards,” held by Mr. Cohen which are outstanding and unearned will be deemed earned based on the greater of target or actual performance as measured through such change in control, and be subject to time-based vesting based on Mr. Cohen’s continued employment for the remainder of the performance period.</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under Mr. Cohen’s employment agreement in connection with a change in control may not be eligible for a federal income tax deduction for the Company pursuant to Section 280G of the Internal Revenue Code of 1986, as amended (the “Internal Revenue Code”). These payments and benefits may also subject Mr. Cohen to an excise tax under Section 4999 of the Internal Revenue Code. If the payments or benefits payable to Mr. Cohen in connection with a change in control would be subject to the excise tax imposed under Section 4999 of the Internal Revenue Code, then those payments or benefits will be reduced if such reduction would result in a higher net after-tax benefit to him.</w:t>
      </w:r>
    </w:p>
    <w:p>
      <w:pPr>
        <w:spacing w:after="0" w:line="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Mr. Cohen is subject to standard confidentiality and nondisclosure, assignment of intellectual property work product and post-termination non- solicitation of employees, consultants and customers covenants.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Justin Klee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our IPO, we entered into an employment agreement with Mr. Klee which became effective on January 6, 2022, the closing of our IPO, pursuant to which we employ Mr. Klee as our Co-Chief Executive Officer on an “at-will” basis. Mr. Klee’s employment agreement provides that his annual base salary is subject to periodic review by our board of directors or compensation committee. In addition, the employment agreement provides that Mr. Klee is eligible to receive cash incentive compensation as determined by our board of directors or compensation committee. Mr. Klee is also eligible to participate in our employee benefit plans generally in effect from time to time, subject to the terms and conditions of such plans.</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of a termination of Mr. Klee’s employment by the Company without “cause” or by Mr. Klee for “good reason” (as such terms are defined in his employment agreement), subject to Mr. Klee’s execution and non-revocation of a separation agreement and release of claims, Mr. Klee will be entitled to receive (i) cash severance equal to the sum of twelve (12) months of base salary, plus a pro-rated portion of his target bonus for the year in which his termination occurs, payable in substantially equal installments over twelve (12) months following his date of termination, (ii) acceleration of time-based equity awards that would have become fully vested and exercisable or nonforfeitable had Mr. Klee remained employed by the Company for the twelve (12) month period immediately following the date of termination, and (iii) subject to Mr. Klee’s election to receive continued health benefits under COBRA and copayment of premium amounts at the applicable active employees’ rate, monthly payments equal to employer contribution amount that the Company would have made to provide health insurance to Mr. Klee if he had remained employed by the Company until the earliest of (A) twelve (12) months following termination; (B) the date he becomes eligible for group medical plan benefits under any other employer’s group medical plan; or (C) the expiration of Mr. Klee’s COBRA health continuation period.</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above, in the event that Mr. Klee’s employment is terminated by us without “cause,” or by him for “good reason,” in each case, within three (3) months prior to or twelve (12) months following a “change in control” (as defined in his employment agreement), and subject to Mr. Klee’s execution and non-revocation of a separation agreement and release of claims, Mr. Klee will be entitled to receive (i) a lump sum in cash equal to 1.5 times the sum of Mr. Klee’s then current base salary (or the base salary in effect immediately prior to the change in control, if higher) plus Mr. Klee’s target bonus for the year of termination (or the target bonus in effect immediately prior to the change in control, if higher); (ii) full acceleration of vesting of all time-based equity awards (including any performance-based awards that were converted to time-based awards in connection with the change in control and are then outstanding and eligible to vest based on Mr. Klee’s continued employment); and (iii) subject to Mr. Klee’s election to receive continued health benefits under COBRA and copayment of premium amounts at the active employees’ rate, monthly payments equal to employer contribution amount that the Company would have made to provide health insurance to Mr. Klee if he had remained employed by the Company until the earliest of (A) 18 months following termination; (B) the date he becomes eligible for group medical plan benefits under any other employer’s group medical plan; or (C) the expiration of Mr. Klee’s COBRA health continuation period.</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upon a “change in control” (as defined in Mr. Klee’s employment agreement), except as otherwise set forth in the applicable equity award agreement, any performance-based equity awards, held by Mr. Klee which are outstanding and unearned will be deemed earned based on the greater of target or actual performance as measured through such change in control, and subject to time-based vesting based on Mr. Klee’s continued employment for the remainder of the performance period.</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under Mr. Klee’s employment agreement in connection with a change in control may not be eligible for a federal income tax deduction for the Company pursuant to Section 280G of the Internal Revenue Code. These payments and benefits may also subject Mr. Klee to an excise tax under Section 4999 of the Internal Revenue Code. If the payments or benefits payable to Mr. Klee in connection with a change in control would be subject to the excise tax imposed under Section 4999 of the Internal Revenue Code, then those payments or benefits will be reduced if such reduction would result in a higher net after-tax benefit to him.</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Mr. Klee is subject to standard confidentiality and nondisclosure, assignment of intellectual property work product and post-termination non- solicitation of employees, consultants and customers covenants.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James Frates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our IPO, we entered into an employment agreement with Mr. Frates which became effective on January 6, 2022, the closing of our IPO, pursuant to which we employ Mr. Frates as our Chief Financial Officer on an “at-will” basis. Mr. Frates’ employment agreement provides that his annual base salary is subject to periodic review by our board of directors or compensation committee. In addition, the employment agreement provides that Mr. Frates is eligible to receive cash incentive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compensation as determined by our board of directors or compensation committee. Mr. Frates is also eligible to participate in our employee benefit plans generally in effect from time to time, subject to the terms and conditions of such plans.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event of a termination of Mr. Frates’ employment by the Company without “cause” or by him for “good reason” (as such terms are defined in his employment agreement), subject to Mr. Frates’ execution and non-revocation of a separation agreement and release of claims, Mr. Frates will be entitled to receive (i) cash severance equal to the sum of nine (9) months of base salary payable in substantially equal installments over nine (9) months following his date of termination, and (ii) subject to Mr. Frates’ election to receive continued health benefits under COBRA and copayment of premium amounts at the applicable active employees’ rate, monthly payments equal to employer contribution amount that the Company would have made to provide health insurance to Mr. Frates if he had remained employed by the Company until the earliest of (A) nine (9) months following termination; (B) the date he becomes eligible for group medical plan benefits under any other employer’s group medical plan; or (C) the expiration of Mr. Frates’ COBRA health continuation period.</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above, in the event that Mr. Frates’ employment is terminated by us without cause, or by him for good reason, in each case, within three (3) months prior to or twelve (12) months following a “change in control” (as defined in his employment agreement), and subject to Mr. Frates’ execution and non-revocation of a separation agreement and release of claims, Mr. Frates will be entitled to receive (i) a lump sum in cash equal to 1.0 times the sum of Mr. Frates’ then current base salary (or the base salary in effect immediately prior to the change in control, if higher) plus Mr. Frates’ target bonus for the year of termination (or the target bonus in effect immediately prior to the change in control, if higher); (ii) full acceleration of vesting of all time-based equity awards (including any performance-based awards that were converted to time-based awards in connection with the change in control and are then outstanding and eligible to vest based on Mr. Frates’ continued employment); and (iii) subject to Mr. Frates’ election to receive continued health benefits under COBRA and copayment of premium amounts at the active employees’ rate, monthly payments equal to employer contribution amount that the Company would have made to provide health insurance to Mr. Frates if he had remained employed by the Company until the earliest of (A) twelve (12) months following termination; (B) the date he becomes eligible for group medical plan benefits under any other employer’s group medical plan; or (C) the expiration of Mr. Frates’ COBRA health continuation period.</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upon a “change in control” (as defined in Mr. Frates’ employment agreement), except as otherwise set forth in the applicable equity award agreement, any performance-based equity awards held by Mr. Frates which are outstanding and unearned will be deemed earned based on the greater of target or actual performance as measured through such change in control, and subject to time-based vesting based on Mr. Frates’ continued employment for the remainder of the performance period.</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under Mr. Frates’ employment agreement in connection with a change in control may not be eligible for a federal income tax deduction for the Company pursuant to Section 280G of the Internal Revenue Code. These payments and benefits may also subject Mr. Frates to an excise tax under Section 4999 of the Internal Revenue Code. If the payments or benefits payable to Mr. Frates in connection with a change in control would be subject to the excise tax imposed under Section 4999 of the Internal Revenue Code, then those payments or benefits will be reduced if such reduction would result in a higher net after-tax benefit to him.</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Mr. Frates is subject to standard confidentiality and nondisclosure, assignment of intellectual property work product and post-termination non- solicitation of employees, consultants and customers covenants.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Camille Bedrosian, M.D.</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6, 2023, we entered into an employment agreement with Dr. Bedrosian in connection with her commencement of employment, pursuant to which we employ her as our Chief Medical Officer. Dr. Bedrosian’s employment agreement provides that her annual base salary is subject to periodic review by our board of directors or compensation committee. In addition, the employment agreement provides that Dr. Bedrosian is eligible to receive cash incentive compensation as determined by our board of directors or compensation committee. Dr. Bedrosian is also eligible to participate in our employee benefit plans generally in effect from time to time, subject to the terms and conditions of such plans.</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Dr. Bedrosian is also eligible to receive reimbursement for all reasonable travel-related expenses in connection with her travel to and from San Rafael, California to the Company’s headquarters in Cambridge, Massachusetts.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Dr. Bedrosian’s employment by the Company without “cause” or by her for “good reason” (as such terms are defined in her employment agreement), subject to Dr. Bedrosian’s execution and non-revocation of a separation agreement and release of claims, Dr. Bedrosian will be entitled to receive (i) cash severance equal to the sum of nine (9) months of base salary, payable in substantially equal installments over nine (9) months following her date of termination,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20" w:firstLine="8"/>
        <w:spacing w:after="0" w:line="258"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Dr. Bedrosian’s election to receive continued health benefits under COBRA and copayment of premium amounts at the applicable active employees’ rate, monthly payments equal to employer contribution amount that the Company would have made to provide health insurance to Dr. Bedrosian if she had remained employed by the Company until the earliest of (A) nine (9) months following termination; (B) the date she becomes eligible for group medical plan benefits under any other employer’s group medical plan; or (C) the expiration of Dr. Bedrosian’s COBRA health continuation period.</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lieu of the payments and benefits described above, in the event that Dr. Bedrosian’s employment is terminated by us without cause, or by her for good reason, in each case, within three (3) months prior to or twelve (12) months following a change in control and subject to Dr. Bedrosian’s execution and non-revocation of a release, Dr. Bedrosian will be entitled to receive (i) a lump sum in cash equal to 1.0 times the sum of Dr. Bedrosian’s then current base salary (or the base salary in effect immediately prior to the change in control, if higher) plus Dr. Bedrosian’s target bonus for the current year (or the target bonus in effect immediately prior to the change in control, if higher); (ii) full acceleration of vesting of all time-based equity awards, and any performance-based awards that are then outstanding and eligible to vest based on Dr. Bedrosian’s continued employment shall accelerate and become fully vested and exercisable; and (iii) subject to Dr. Bedrosian’s election to receive continued health benefits under COBRA and copayment of premium amounts at the active employees’ rate, monthly payments equal to employer contribution amount that the Company would have made to provide health insurance to Dr. Bedrosian if she had remained employed by the Company until the earliest of (A) twelve (12) months following termination; (B) the date she becomes eligible for group medical plan benefits under any other employer’s group medical plan; or (C) the expiration of Dr. Bedrosian’s COBRA health continuation period.</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upon a “change in control” (as defined in Dr. Bedrosian’s employment agreement), except as otherwise set forth in the applicable equity award agreement, any performance-based equity awards held by Dr. Bedrosian which are outstanding and unearned will be deemed earned based on the greater of target or actual performance as measured through such change in control, and subject to time-based vesting based on Dr. Bedrosian’s continued employment for the remainder of the performance period.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under Dr. Bedrosian’s employment agreement in connection with a change in control may not be eligible for a federal income tax deduction for the Company pursuant to Section 280G of the Internal Revenue Code. These payments and benefits may also subject Dr. Bedrosian to an excise tax under Section 4999 of the Internal Revenue Code. If the payments or benefits payable to Dr. Bedrosian in connection with a change in control would be subject to the excise tax imposed under Section 4999 of the Internal Revenue Code, then those payments or benefits will be reduced if such reduction would result in a higher net after-tax benefit to her.</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her employment agreement, Dr. Bedrosian is subject to standard confidentiality and nondisclosure, assignment of intellectual property work product and post-termination non-solicitation of employees, consultants and customers covenants.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2025 Year-End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Option Awards (1)(3)</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Stock Awards (3)</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2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gridSpan w:val="3"/>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2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3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Joshua Cohen</w:t>
            </w:r>
          </w:p>
        </w:tc>
        <w:tc>
          <w:tcPr>
            <w:tcW w:w="9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2/19/2021</w:t>
            </w:r>
          </w:p>
        </w:tc>
        <w:tc>
          <w:tcPr>
            <w:tcW w:w="1120" w:type="dxa"/>
            <w:vAlign w:val="bottom"/>
            <w:gridSpan w:val="3"/>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200,000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7.57</w:t>
            </w:r>
          </w:p>
        </w:tc>
        <w:tc>
          <w:tcPr>
            <w:tcW w:w="10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2/19/2026</w:t>
            </w: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1/6/2022</w:t>
            </w:r>
          </w:p>
        </w:tc>
        <w:tc>
          <w:tcPr>
            <w:tcW w:w="11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330,468</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7,032</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1/6/2032</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226,500</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154,687</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70,313</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3/16/2033</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302,000</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87,083</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102,917</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2/26/2034</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95,001</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1,147,612</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158,333</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221,667</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4/16/2034</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270,177</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3/6/2035</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180,118</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2,175,825</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3/6/2025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2,175,825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Justin Klee</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2/19/2021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200,000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7.57</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2/19/2026</w:t>
            </w:r>
          </w:p>
        </w:tc>
        <w:tc>
          <w:tcPr>
            <w:tcW w:w="22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330,468</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7,032</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1/6/2032</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226,500</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154,687</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70,313</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3/16/2033</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302,000</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2/26/2024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87,083</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102,917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2/26/2034</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1,147,612</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4/16/2024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158,333</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221,667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4/16/2034</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270,177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3/6/2035</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180,118</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2,175,825</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180,118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2,175,825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James Frates</w:t>
            </w:r>
          </w:p>
        </w:tc>
        <w:tc>
          <w:tcPr>
            <w:tcW w:w="9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1/25/2021</w:t>
            </w:r>
          </w:p>
        </w:tc>
        <w:tc>
          <w:tcPr>
            <w:tcW w:w="112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363,835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6.88</w:t>
            </w:r>
          </w:p>
        </w:tc>
        <w:tc>
          <w:tcPr>
            <w:tcW w:w="10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1/25/2031</w:t>
            </w: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1/6/2022</w:t>
            </w:r>
          </w:p>
        </w:tc>
        <w:tc>
          <w:tcPr>
            <w:tcW w:w="11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139,531</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2,969</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1/6/2032</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7,917</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95,637</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2/11/2022</w:t>
            </w: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2/11/2032</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67,031</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30,469</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3/16/2033</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10,834</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130,875</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1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32,500</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2/26/2034</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2/26/2024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362,400</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4/16/2024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4/16/2034</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102,630</w:t>
            </w: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3/6/2035</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68,420</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826,514</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3/6/2025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68,420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826,514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Camille L. Bedrosian,</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11/27/2023</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11/26/2033</w:t>
            </w: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M.D.</w:t>
            </w: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29,167</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352,337</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4/16/2024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4/16/2034</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102,630</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3/6/2035</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68,420</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826,514</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68,420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826,514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857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2" w:lineRule="exact"/>
        <w:rPr>
          <w:sz w:val="20"/>
          <w:szCs w:val="20"/>
          <w:color w:val="auto"/>
        </w:rPr>
      </w:pPr>
    </w:p>
    <w:p>
      <w:pPr>
        <w:ind w:left="520" w:hanging="512"/>
        <w:spacing w:after="0" w:line="281" w:lineRule="auto"/>
        <w:tabs>
          <w:tab w:leader="none" w:pos="5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below, each stock option award vests over four years, with respect to 25% of the shares on the first anniversary of the grant date and the remaining 75% of the shares in 36 equal monthly installments thereafter, subject to the Named Executive Officer’s continued service relationship with us on each applicable vesting date.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right="180" w:hanging="512"/>
        <w:spacing w:after="0" w:line="269" w:lineRule="auto"/>
        <w:tabs>
          <w:tab w:leader="none" w:pos="5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which vest over four years in four equal annual installments following the grant date subject to the Named Executive Officer’s continued service relationship with us on each vesting date.</w:t>
      </w:r>
    </w:p>
    <w:p>
      <w:pPr>
        <w:ind w:left="520" w:right="40" w:hanging="512"/>
        <w:spacing w:after="0" w:line="264" w:lineRule="auto"/>
        <w:tabs>
          <w:tab w:leader="none" w:pos="5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their respective employment agreements, in the event that Mr. Klee or Mr. Cohen are terminated without cause or resign for good reason, their time-based stock options and RSUs will accelerate by twelve (12) months, and in the event that Mr. Klee, Mr. Cohen, Mr. Frates or Dr. Bedrosian is terminated without cause or resigns for good reason within 3 months prior to or 12 months following a change in control, any unvested shares subject to the executive’s time-based stock options and RSUs will fully accelerate. In addition, upon a change in control, except as otherwise set forth in the applicable equity award agreement, PSUs held by each NEO which are outstanding and unearned will be deemed earned based on the greater of target or actual performance as measured through such change in control, and subject to time-based vesting based on such NEO’s continued employment through the remainder of the performance period.</w:t>
      </w:r>
    </w:p>
    <w:p>
      <w:pPr>
        <w:ind w:left="520" w:right="340" w:hanging="512"/>
        <w:spacing w:after="0" w:line="264" w:lineRule="auto"/>
        <w:tabs>
          <w:tab w:leader="none" w:pos="5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market value of the shares based on the closing price of our common stock on December 31, 2025, the last trading day of the 2025 fiscal year, or $12.08.</w:t>
      </w:r>
    </w:p>
    <w:p>
      <w:pPr>
        <w:ind w:left="520" w:hanging="512"/>
        <w:spacing w:after="0" w:line="272" w:lineRule="auto"/>
        <w:tabs>
          <w:tab w:leader="none" w:pos="5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PSU award only vests upon the occurrence of certain corporate performance milestones. Specifically, 33% of the PSUs vest upon positive avexitide Phase 3 study readout, with the remaining 67% vesting upon FDA approval of avexitide, in each case subject to grantee’s continued service relationship through such vesting dates. As of December 31, 2025, none of the performance milestones have been achieved. The number of shares reported in the table above reflects the target number of shares subject to such PSU awards, which is also the maximum number of shares subject to such PSU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 Timing</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adopted an Equity Award Grant Policy which established its process for granting equity awards. While we may make grants at any time, it will generally make grants in connection with the hire of a new employee, the promotion of an existing employee, or on an annual basis to existing employees.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NEOs during any period beginning four business days before and ending one business day after the filing or furnishing of a Form 10-Q, 10-K or 8-K that discloses material nonpublic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10(f)(1) of Regulation S-K and are therefore permitted to provide scaled pay versus performance disclosures.</w:t>
      </w:r>
    </w:p>
    <w:p>
      <w:pPr>
        <w:spacing w:after="0" w:line="5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Act and Item 402(v) of Regulation S-K, we are providing the following disclosure regarding “Compensation Actually Paid,” as determined under SEC rules, for our principal executive officers (collectively, “PEOs”) and non-PEO NEOs as a group and Company financial performance for the fiscal years listed below. This disclosure does not necessarily reflect value actually realized by the executive or how our compensation committee evaluates compensation decisions in light of company or individual performance. The compensation committee did not consider the pay versus performance disclosure below in making its pay decisions for any of the years shown.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5"/>
                <w:szCs w:val="15"/>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680" w:type="dxa"/>
            <w:vAlign w:val="bottom"/>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Joshua Cohen</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Justin Klee</w:t>
            </w: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Joshua Cohen</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Justin Klee</w:t>
            </w:r>
          </w:p>
        </w:tc>
        <w:tc>
          <w:tcPr>
            <w:tcW w:w="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(4)</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(4)</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2025 (1)</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2,719,807</w:t>
            </w:r>
          </w:p>
        </w:tc>
        <w:tc>
          <w:tcPr>
            <w:tcW w:w="1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2,719,807</w:t>
            </w:r>
          </w:p>
        </w:tc>
        <w:tc>
          <w:tcPr>
            <w:tcW w:w="1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12,273,590</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12,273,590</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1,471,501</w:t>
            </w:r>
          </w:p>
        </w:tc>
        <w:tc>
          <w:tcPr>
            <w:tcW w:w="1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5,026,822</w:t>
            </w: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48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(144,735)</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2024 (2)</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6,496,255</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6,496,255</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1,033,802</w:t>
            </w:r>
          </w:p>
        </w:tc>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1,033,802</w:t>
            </w:r>
          </w:p>
        </w:tc>
        <w:tc>
          <w:tcPr>
            <w:tcW w:w="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2,419,675</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152,156</w:t>
            </w:r>
          </w:p>
        </w:tc>
        <w:tc>
          <w:tcPr>
            <w:tcW w:w="1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(301,743)</w:t>
            </w:r>
          </w:p>
        </w:tc>
        <w:tc>
          <w:tcPr>
            <w:tcW w:w="0" w:type="dxa"/>
            <w:vAlign w:val="bottom"/>
          </w:tcPr>
          <w:p>
            <w:pPr>
              <w:spacing w:after="0"/>
              <w:rPr>
                <w:sz w:val="1"/>
                <w:szCs w:val="1"/>
                <w:color w:val="auto"/>
              </w:rPr>
            </w:pPr>
          </w:p>
        </w:tc>
      </w:tr>
      <w:tr>
        <w:trPr>
          <w:trHeight w:val="148"/>
        </w:trPr>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2023 (3)</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7,418,169</w:t>
            </w:r>
          </w:p>
        </w:tc>
        <w:tc>
          <w:tcPr>
            <w:tcW w:w="1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7,418,169</w:t>
            </w:r>
          </w:p>
        </w:tc>
        <w:tc>
          <w:tcPr>
            <w:tcW w:w="146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(6,397,526)</w:t>
            </w:r>
          </w:p>
        </w:tc>
        <w:tc>
          <w:tcPr>
            <w:tcW w:w="12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(6,397,526)</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3,086,015</w:t>
            </w:r>
          </w:p>
        </w:tc>
        <w:tc>
          <w:tcPr>
            <w:tcW w:w="140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(3,219,395)</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69" w:lineRule="exact"/>
        <w:rPr>
          <w:sz w:val="20"/>
          <w:szCs w:val="20"/>
          <w:color w:val="auto"/>
        </w:rPr>
      </w:pPr>
    </w:p>
    <w:p>
      <w:pPr>
        <w:ind w:left="520" w:right="300" w:hanging="512"/>
        <w:spacing w:after="0" w:line="269" w:lineRule="auto"/>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the PEOs were our Co-Chief Executive Officers, Joshua Cohen and Justin Klee, and the non-PEO NEOs were James Frates and Camille L. Bedrosian, M.D.</w:t>
      </w: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the PEOs were our Co-Chief Executive Officers, Joshua Cohen and Justin Klee, and the non-PEO NEOs were James Frates and Gina M. Mazzariello.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right="20" w:hanging="512"/>
        <w:spacing w:after="0" w:line="269" w:lineRule="auto"/>
        <w:tabs>
          <w:tab w:leader="none" w:pos="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the PEOs were our Co-Chief Executive Officers, Joshua Cohen and Justin Klee, and the non-PEO NEOs were James Frates, Gina M. Mazzariello, Camille L. Bedrosian, M.D. and Margaret Olinger.</w:t>
      </w:r>
    </w:p>
    <w:p>
      <w:pPr>
        <w:jc w:val="both"/>
        <w:ind w:left="520" w:right="80" w:hanging="512"/>
        <w:spacing w:after="0" w:line="276" w:lineRule="auto"/>
        <w:tabs>
          <w:tab w:leader="none" w:pos="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 reflects the total compensation reported in the Summary Compensation Table for the applicable year adjusted to include or exclude the amounts shown in the tables below for the NEOs. To calculate Compensation Actually Paid, the following amounts were deducted from and added to the Summary Compensation Table total compensation, computed in accordance with Item 402(v)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 Summary Compensation Total to Compensation Actually Paid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Summary Compensation Total for</w:t>
            </w: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Deduction of Equity Awards for</w:t>
            </w: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 of Adjusted Equity Awards</w:t>
            </w: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 Actually Paid to Joshua</w:t>
            </w:r>
          </w:p>
        </w:tc>
        <w:tc>
          <w:tcPr>
            <w:tcW w:w="0" w:type="dxa"/>
            <w:vAlign w:val="bottom"/>
          </w:tcPr>
          <w:p>
            <w:pPr>
              <w:spacing w:after="0"/>
              <w:rPr>
                <w:sz w:val="1"/>
                <w:szCs w:val="1"/>
                <w:color w:val="auto"/>
              </w:rPr>
            </w:pPr>
          </w:p>
        </w:tc>
      </w:tr>
      <w:tr>
        <w:trPr>
          <w:trHeight w:val="148"/>
        </w:trPr>
        <w:tc>
          <w:tcPr>
            <w:tcW w:w="980" w:type="dxa"/>
            <w:vAlign w:val="bottom"/>
            <w:vMerge w:val="continue"/>
          </w:tcPr>
          <w:p>
            <w:pPr>
              <w:spacing w:after="0"/>
              <w:rPr>
                <w:sz w:val="12"/>
                <w:szCs w:val="12"/>
                <w:color w:val="auto"/>
              </w:rPr>
            </w:pPr>
          </w:p>
        </w:tc>
        <w:tc>
          <w:tcPr>
            <w:tcW w:w="2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Joshua Cohen</w:t>
            </w:r>
          </w:p>
        </w:tc>
        <w:tc>
          <w:tcPr>
            <w:tcW w:w="2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Joshua Cohen</w:t>
            </w:r>
          </w:p>
        </w:tc>
        <w:tc>
          <w:tcPr>
            <w:tcW w:w="2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Joshua Cohen</w:t>
            </w:r>
          </w:p>
        </w:tc>
        <w:tc>
          <w:tcPr>
            <w:tcW w:w="2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Cohen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(a)</w:t>
            </w:r>
          </w:p>
        </w:tc>
        <w:tc>
          <w:tcPr>
            <w:tcW w:w="10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(b)</w:t>
            </w:r>
          </w:p>
        </w:tc>
        <w:tc>
          <w:tcPr>
            <w:tcW w:w="1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2,719,807</w:t>
            </w:r>
          </w:p>
        </w:tc>
        <w:tc>
          <w:tcPr>
            <w:tcW w:w="2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(1,468,009)</w:t>
            </w:r>
          </w:p>
        </w:tc>
        <w:tc>
          <w:tcPr>
            <w:tcW w:w="25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11,021,792</w:t>
            </w:r>
          </w:p>
        </w:tc>
        <w:tc>
          <w:tcPr>
            <w:tcW w:w="25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12,273,590</w:t>
            </w:r>
          </w:p>
        </w:tc>
        <w:tc>
          <w:tcPr>
            <w:tcW w:w="0" w:type="dxa"/>
            <w:vAlign w:val="bottom"/>
          </w:tcPr>
          <w:p>
            <w:pPr>
              <w:spacing w:after="0"/>
              <w:rPr>
                <w:sz w:val="1"/>
                <w:szCs w:val="1"/>
                <w:color w:val="auto"/>
              </w:rPr>
            </w:pPr>
          </w:p>
        </w:tc>
      </w:tr>
      <w:tr>
        <w:trPr>
          <w:trHeight w:val="148"/>
        </w:trPr>
        <w:tc>
          <w:tcPr>
            <w:tcW w:w="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6,496,255</w:t>
            </w:r>
          </w:p>
        </w:tc>
        <w:tc>
          <w:tcPr>
            <w:tcW w:w="2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(5,270,950)</w:t>
            </w:r>
          </w:p>
        </w:tc>
        <w:tc>
          <w:tcPr>
            <w:tcW w:w="2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(191,503)</w:t>
            </w:r>
          </w:p>
        </w:tc>
        <w:tc>
          <w:tcPr>
            <w:tcW w:w="2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1,033,802</w:t>
            </w:r>
          </w:p>
        </w:tc>
        <w:tc>
          <w:tcPr>
            <w:tcW w:w="0" w:type="dxa"/>
            <w:vAlign w:val="bottom"/>
          </w:tcPr>
          <w:p>
            <w:pPr>
              <w:spacing w:after="0"/>
              <w:rPr>
                <w:sz w:val="1"/>
                <w:szCs w:val="1"/>
                <w:color w:val="auto"/>
              </w:rPr>
            </w:pPr>
          </w:p>
        </w:tc>
      </w:tr>
      <w:tr>
        <w:trPr>
          <w:trHeight w:val="148"/>
        </w:trPr>
        <w:tc>
          <w:tcPr>
            <w:tcW w:w="9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7,418,169</w:t>
            </w:r>
          </w:p>
        </w:tc>
        <w:tc>
          <w:tcPr>
            <w:tcW w:w="25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(6,337,928)</w:t>
            </w:r>
          </w:p>
        </w:tc>
        <w:tc>
          <w:tcPr>
            <w:tcW w:w="25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(7,477,767)</w:t>
            </w:r>
          </w:p>
        </w:tc>
        <w:tc>
          <w:tcPr>
            <w:tcW w:w="2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(6,397,526)</w:t>
            </w: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Summary Compensation Total for</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Deduction of Equity Awards for Justin</w:t>
            </w: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 of Adjusted Equity Awards</w:t>
            </w: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 Actually Paid to Justin</w:t>
            </w:r>
          </w:p>
        </w:tc>
        <w:tc>
          <w:tcPr>
            <w:tcW w:w="0" w:type="dxa"/>
            <w:vAlign w:val="bottom"/>
          </w:tcPr>
          <w:p>
            <w:pPr>
              <w:spacing w:after="0"/>
              <w:rPr>
                <w:sz w:val="1"/>
                <w:szCs w:val="1"/>
                <w:color w:val="auto"/>
              </w:rPr>
            </w:pPr>
          </w:p>
        </w:tc>
      </w:tr>
      <w:tr>
        <w:trPr>
          <w:trHeight w:val="149"/>
        </w:trPr>
        <w:tc>
          <w:tcPr>
            <w:tcW w:w="980" w:type="dxa"/>
            <w:vAlign w:val="bottom"/>
            <w:vMerge w:val="continue"/>
          </w:tcPr>
          <w:p>
            <w:pPr>
              <w:spacing w:after="0"/>
              <w:rPr>
                <w:sz w:val="12"/>
                <w:szCs w:val="12"/>
                <w:color w:val="auto"/>
              </w:rPr>
            </w:pPr>
          </w:p>
        </w:tc>
        <w:tc>
          <w:tcPr>
            <w:tcW w:w="2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Justin Klee</w:t>
            </w:r>
          </w:p>
        </w:tc>
        <w:tc>
          <w:tcPr>
            <w:tcW w:w="2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Klee</w:t>
            </w:r>
          </w:p>
        </w:tc>
        <w:tc>
          <w:tcPr>
            <w:tcW w:w="2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Justin Klee</w:t>
            </w:r>
          </w:p>
        </w:tc>
        <w:tc>
          <w:tcPr>
            <w:tcW w:w="2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Klee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(a)</w:t>
            </w:r>
          </w:p>
        </w:tc>
        <w:tc>
          <w:tcPr>
            <w:tcW w:w="10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(b)</w:t>
            </w:r>
          </w:p>
        </w:tc>
        <w:tc>
          <w:tcPr>
            <w:tcW w:w="1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2,719,807</w:t>
            </w:r>
          </w:p>
        </w:tc>
        <w:tc>
          <w:tcPr>
            <w:tcW w:w="2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(1,468,009)</w:t>
            </w:r>
          </w:p>
        </w:tc>
        <w:tc>
          <w:tcPr>
            <w:tcW w:w="25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11,021,792</w:t>
            </w:r>
          </w:p>
        </w:tc>
        <w:tc>
          <w:tcPr>
            <w:tcW w:w="25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12,273,590</w:t>
            </w:r>
          </w:p>
        </w:tc>
        <w:tc>
          <w:tcPr>
            <w:tcW w:w="0" w:type="dxa"/>
            <w:vAlign w:val="bottom"/>
          </w:tcPr>
          <w:p>
            <w:pPr>
              <w:spacing w:after="0"/>
              <w:rPr>
                <w:sz w:val="1"/>
                <w:szCs w:val="1"/>
                <w:color w:val="auto"/>
              </w:rPr>
            </w:pPr>
          </w:p>
        </w:tc>
      </w:tr>
      <w:tr>
        <w:trPr>
          <w:trHeight w:val="148"/>
        </w:trPr>
        <w:tc>
          <w:tcPr>
            <w:tcW w:w="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6,496,255</w:t>
            </w:r>
          </w:p>
        </w:tc>
        <w:tc>
          <w:tcPr>
            <w:tcW w:w="2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(5,270,950)</w:t>
            </w:r>
          </w:p>
        </w:tc>
        <w:tc>
          <w:tcPr>
            <w:tcW w:w="2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(191,503)</w:t>
            </w:r>
          </w:p>
        </w:tc>
        <w:tc>
          <w:tcPr>
            <w:tcW w:w="2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1,033,802</w:t>
            </w:r>
          </w:p>
        </w:tc>
        <w:tc>
          <w:tcPr>
            <w:tcW w:w="0" w:type="dxa"/>
            <w:vAlign w:val="bottom"/>
          </w:tcPr>
          <w:p>
            <w:pPr>
              <w:spacing w:after="0"/>
              <w:rPr>
                <w:sz w:val="1"/>
                <w:szCs w:val="1"/>
                <w:color w:val="auto"/>
              </w:rPr>
            </w:pPr>
          </w:p>
        </w:tc>
      </w:tr>
      <w:tr>
        <w:trPr>
          <w:trHeight w:val="149"/>
        </w:trPr>
        <w:tc>
          <w:tcPr>
            <w:tcW w:w="9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7,418,169</w:t>
            </w:r>
          </w:p>
        </w:tc>
        <w:tc>
          <w:tcPr>
            <w:tcW w:w="25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(6,337,928)</w:t>
            </w:r>
          </w:p>
        </w:tc>
        <w:tc>
          <w:tcPr>
            <w:tcW w:w="25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(7,477,767)</w:t>
            </w:r>
          </w:p>
        </w:tc>
        <w:tc>
          <w:tcPr>
            <w:tcW w:w="2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(6,397,526)</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non-PEO NEOs Summary Compensation Total to Compensation Actually Paid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Summary Compensation</w:t>
            </w: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Deduction of Equity Awards</w:t>
            </w: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Addition of Adjusted Equity</w:t>
            </w: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Compensation Actually Paid</w:t>
            </w:r>
          </w:p>
        </w:tc>
        <w:tc>
          <w:tcPr>
            <w:tcW w:w="0" w:type="dxa"/>
            <w:vAlign w:val="bottom"/>
          </w:tcPr>
          <w:p>
            <w:pPr>
              <w:spacing w:after="0"/>
              <w:rPr>
                <w:sz w:val="1"/>
                <w:szCs w:val="1"/>
                <w:color w:val="auto"/>
              </w:rPr>
            </w:pPr>
          </w:p>
        </w:tc>
      </w:tr>
      <w:tr>
        <w:trPr>
          <w:trHeight w:val="148"/>
        </w:trPr>
        <w:tc>
          <w:tcPr>
            <w:tcW w:w="980" w:type="dxa"/>
            <w:vAlign w:val="bottom"/>
            <w:vMerge w:val="continue"/>
          </w:tcPr>
          <w:p>
            <w:pPr>
              <w:spacing w:after="0"/>
              <w:rPr>
                <w:sz w:val="12"/>
                <w:szCs w:val="12"/>
                <w:color w:val="auto"/>
              </w:rPr>
            </w:pPr>
          </w:p>
        </w:tc>
        <w:tc>
          <w:tcPr>
            <w:tcW w:w="2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 NEOs</w:t>
            </w:r>
          </w:p>
        </w:tc>
        <w:tc>
          <w:tcPr>
            <w:tcW w:w="2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2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 NEOs</w:t>
            </w:r>
          </w:p>
        </w:tc>
        <w:tc>
          <w:tcPr>
            <w:tcW w:w="2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Non-PEO NEOs</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(a)</w:t>
            </w:r>
          </w:p>
        </w:tc>
        <w:tc>
          <w:tcPr>
            <w:tcW w:w="10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(b)</w:t>
            </w:r>
          </w:p>
        </w:tc>
        <w:tc>
          <w:tcPr>
            <w:tcW w:w="1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1,471,501</w:t>
            </w:r>
          </w:p>
        </w:tc>
        <w:tc>
          <w:tcPr>
            <w:tcW w:w="2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(559,006)</w:t>
            </w:r>
          </w:p>
        </w:tc>
        <w:tc>
          <w:tcPr>
            <w:tcW w:w="25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4,114,327</w:t>
            </w:r>
          </w:p>
        </w:tc>
        <w:tc>
          <w:tcPr>
            <w:tcW w:w="25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5,026,822</w:t>
            </w:r>
          </w:p>
        </w:tc>
        <w:tc>
          <w:tcPr>
            <w:tcW w:w="0" w:type="dxa"/>
            <w:vAlign w:val="bottom"/>
          </w:tcPr>
          <w:p>
            <w:pPr>
              <w:spacing w:after="0"/>
              <w:rPr>
                <w:sz w:val="1"/>
                <w:szCs w:val="1"/>
                <w:color w:val="auto"/>
              </w:rPr>
            </w:pPr>
          </w:p>
        </w:tc>
      </w:tr>
      <w:tr>
        <w:trPr>
          <w:trHeight w:val="148"/>
        </w:trPr>
        <w:tc>
          <w:tcPr>
            <w:tcW w:w="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2,419,675</w:t>
            </w:r>
          </w:p>
        </w:tc>
        <w:tc>
          <w:tcPr>
            <w:tcW w:w="2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(1,658,789)</w:t>
            </w:r>
          </w:p>
        </w:tc>
        <w:tc>
          <w:tcPr>
            <w:tcW w:w="2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(608,730)</w:t>
            </w:r>
          </w:p>
        </w:tc>
        <w:tc>
          <w:tcPr>
            <w:tcW w:w="2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152,156</w:t>
            </w:r>
          </w:p>
        </w:tc>
        <w:tc>
          <w:tcPr>
            <w:tcW w:w="0" w:type="dxa"/>
            <w:vAlign w:val="bottom"/>
          </w:tcPr>
          <w:p>
            <w:pPr>
              <w:spacing w:after="0"/>
              <w:rPr>
                <w:sz w:val="1"/>
                <w:szCs w:val="1"/>
                <w:color w:val="auto"/>
              </w:rPr>
            </w:pPr>
          </w:p>
        </w:tc>
      </w:tr>
      <w:tr>
        <w:trPr>
          <w:trHeight w:val="148"/>
        </w:trPr>
        <w:tc>
          <w:tcPr>
            <w:tcW w:w="9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3,086,015</w:t>
            </w:r>
          </w:p>
        </w:tc>
        <w:tc>
          <w:tcPr>
            <w:tcW w:w="25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(2,391,751)</w:t>
            </w:r>
          </w:p>
        </w:tc>
        <w:tc>
          <w:tcPr>
            <w:tcW w:w="25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(3,913,659)</w:t>
            </w:r>
          </w:p>
        </w:tc>
        <w:tc>
          <w:tcPr>
            <w:tcW w:w="2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(3,219,395)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69" w:lineRule="exact"/>
        <w:rPr>
          <w:sz w:val="20"/>
          <w:szCs w:val="20"/>
          <w:color w:val="auto"/>
        </w:rPr>
      </w:pPr>
    </w:p>
    <w:p>
      <w:pPr>
        <w:ind w:left="520" w:right="480" w:hanging="512"/>
        <w:spacing w:after="0" w:line="269" w:lineRule="auto"/>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date fair value of equity-based awards granted each year and reported in the Summary Compensation Table for each year shown. See the footnotes to the Summary Compensation Table for further detail regarding the amounts in this column.</w:t>
      </w:r>
    </w:p>
    <w:p>
      <w:pPr>
        <w:ind w:left="520" w:hanging="512"/>
        <w:spacing w:after="0"/>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value of equity calculated in accordance with the SEC methodology for determining the compensation actually paid for each year shown.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in the Addition of Adjusted Equity Awards in the tables above are derived from the amounts set forth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 Value of</w:t>
            </w:r>
          </w:p>
        </w:tc>
        <w:tc>
          <w:tcPr>
            <w:tcW w:w="120" w:type="dxa"/>
            <w:vAlign w:val="bottom"/>
          </w:tcPr>
          <w:p>
            <w:pPr>
              <w:spacing w:after="0"/>
              <w:rPr>
                <w:sz w:val="13"/>
                <w:szCs w:val="13"/>
                <w:color w:val="auto"/>
              </w:rPr>
            </w:pPr>
          </w:p>
        </w:tc>
        <w:tc>
          <w:tcPr>
            <w:tcW w:w="1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 Fair Value of</w:t>
            </w:r>
          </w:p>
        </w:tc>
        <w:tc>
          <w:tcPr>
            <w:tcW w:w="12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 Day of</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 Addition</w:t>
            </w:r>
          </w:p>
        </w:tc>
        <w:tc>
          <w:tcPr>
            <w:tcW w:w="0" w:type="dxa"/>
            <w:vAlign w:val="bottom"/>
          </w:tcPr>
          <w:p>
            <w:pPr>
              <w:spacing w:after="0"/>
              <w:rPr>
                <w:sz w:val="1"/>
                <w:szCs w:val="1"/>
                <w:color w:val="auto"/>
              </w:rPr>
            </w:pPr>
          </w:p>
        </w:tc>
      </w:tr>
      <w:tr>
        <w:trPr>
          <w:trHeight w:val="149"/>
        </w:trPr>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 Unvested</w:t>
            </w: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Vested</w:t>
            </w: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 Vested</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 Equity</w:t>
            </w: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Adjusted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 Day of</w:t>
            </w:r>
          </w:p>
        </w:tc>
        <w:tc>
          <w:tcPr>
            <w:tcW w:w="2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 Awards for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Joshua</w:t>
            </w: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Joshua</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Forfeited During</w:t>
            </w:r>
          </w:p>
        </w:tc>
        <w:tc>
          <w:tcPr>
            <w:tcW w:w="10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Joshua Cohen</w:t>
            </w: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Joshua Cohen</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Cohen</w:t>
            </w: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Cohen</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Joshua Cohen</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Joshua Cohen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5,173,379</w:t>
            </w:r>
          </w:p>
        </w:tc>
        <w:tc>
          <w:tcPr>
            <w:tcW w:w="1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4,288,660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ind w:left="16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1,559,753</w:t>
            </w:r>
          </w:p>
        </w:tc>
        <w:tc>
          <w:tcPr>
            <w:tcW w:w="100" w:type="dxa"/>
            <w:vAlign w:val="bottom"/>
            <w:shd w:val="clear" w:color="auto" w:fill="CFF0FC"/>
          </w:tcPr>
          <w:p>
            <w:pPr>
              <w:spacing w:after="0"/>
              <w:rPr>
                <w:sz w:val="12"/>
                <w:szCs w:val="12"/>
                <w:color w:val="auto"/>
              </w:rPr>
            </w:pPr>
          </w:p>
        </w:tc>
        <w:tc>
          <w:tcPr>
            <w:tcW w:w="1780" w:type="dxa"/>
            <w:vAlign w:val="bottom"/>
            <w:shd w:val="clear" w:color="auto" w:fill="CFF0FC"/>
          </w:tcPr>
          <w:p>
            <w:pPr>
              <w:ind w:left="16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11,021,792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2,777,461</w:t>
            </w:r>
          </w:p>
        </w:tc>
        <w:tc>
          <w:tcPr>
            <w:tcW w:w="20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(2,416,000)</w:t>
            </w:r>
          </w:p>
        </w:tc>
        <w:tc>
          <w:tcPr>
            <w:tcW w:w="176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9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(552,964)</w:t>
            </w:r>
          </w:p>
        </w:tc>
        <w:tc>
          <w:tcPr>
            <w:tcW w:w="1780" w:type="dxa"/>
            <w:vAlign w:val="bottom"/>
          </w:tcPr>
          <w:p>
            <w:pPr>
              <w:ind w:left="16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(191,503)</w:t>
            </w:r>
          </w:p>
        </w:tc>
        <w:tc>
          <w:tcPr>
            <w:tcW w:w="0" w:type="dxa"/>
            <w:vAlign w:val="bottom"/>
          </w:tcPr>
          <w:p>
            <w:pPr>
              <w:spacing w:after="0"/>
              <w:rPr>
                <w:sz w:val="1"/>
                <w:szCs w:val="1"/>
                <w:color w:val="auto"/>
              </w:rPr>
            </w:pPr>
          </w:p>
        </w:tc>
      </w:tr>
      <w:tr>
        <w:trPr>
          <w:trHeight w:val="148"/>
        </w:trPr>
        <w:tc>
          <w:tcPr>
            <w:tcW w:w="5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2,907,378</w:t>
            </w:r>
          </w:p>
        </w:tc>
        <w:tc>
          <w:tcPr>
            <w:tcW w:w="204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(5,721,351)</w:t>
            </w:r>
          </w:p>
        </w:tc>
        <w:tc>
          <w:tcPr>
            <w:tcW w:w="1760" w:type="dxa"/>
            <w:vAlign w:val="bottom"/>
            <w:shd w:val="clear" w:color="auto" w:fill="CFF0FC"/>
          </w:tcPr>
          <w:p>
            <w:pPr>
              <w:ind w:left="16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98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(4,663,794)</w:t>
            </w:r>
          </w:p>
        </w:tc>
        <w:tc>
          <w:tcPr>
            <w:tcW w:w="1780" w:type="dxa"/>
            <w:vAlign w:val="bottom"/>
            <w:shd w:val="clear" w:color="auto" w:fill="CFF0FC"/>
          </w:tcPr>
          <w:p>
            <w:pPr>
              <w:ind w:left="16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(7,477,767)</w:t>
            </w:r>
          </w:p>
        </w:tc>
        <w:tc>
          <w:tcPr>
            <w:tcW w:w="0" w:type="dxa"/>
            <w:vAlign w:val="bottom"/>
          </w:tcPr>
          <w:p>
            <w:pPr>
              <w:spacing w:after="0"/>
              <w:rPr>
                <w:sz w:val="1"/>
                <w:szCs w:val="1"/>
                <w:color w:val="auto"/>
              </w:rPr>
            </w:pPr>
          </w:p>
        </w:tc>
      </w:tr>
      <w:tr>
        <w:trPr>
          <w:trHeight w:val="340"/>
        </w:trPr>
        <w:tc>
          <w:tcPr>
            <w:tcW w:w="5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 Value of</w:t>
            </w:r>
          </w:p>
        </w:tc>
        <w:tc>
          <w:tcPr>
            <w:tcW w:w="120" w:type="dxa"/>
            <w:vAlign w:val="bottom"/>
          </w:tcPr>
          <w:p>
            <w:pPr>
              <w:spacing w:after="0"/>
              <w:rPr>
                <w:sz w:val="24"/>
                <w:szCs w:val="24"/>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 Fair Value of</w:t>
            </w:r>
          </w:p>
        </w:tc>
        <w:tc>
          <w:tcPr>
            <w:tcW w:w="120" w:type="dxa"/>
            <w:vAlign w:val="bottom"/>
          </w:tcPr>
          <w:p>
            <w:pPr>
              <w:spacing w:after="0"/>
              <w:rPr>
                <w:sz w:val="24"/>
                <w:szCs w:val="24"/>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 Day of</w:t>
            </w:r>
          </w:p>
        </w:tc>
        <w:tc>
          <w:tcPr>
            <w:tcW w:w="100" w:type="dxa"/>
            <w:vAlign w:val="bottom"/>
          </w:tcPr>
          <w:p>
            <w:pPr>
              <w:spacing w:after="0"/>
              <w:rPr>
                <w:sz w:val="24"/>
                <w:szCs w:val="24"/>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 Addition</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120" w:type="dxa"/>
            <w:vAlign w:val="bottom"/>
          </w:tcPr>
          <w:p>
            <w:pPr>
              <w:spacing w:after="0"/>
              <w:rPr>
                <w:sz w:val="14"/>
                <w:szCs w:val="14"/>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Last Day of Year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 Granted</w:t>
            </w:r>
          </w:p>
        </w:tc>
        <w:tc>
          <w:tcPr>
            <w:tcW w:w="12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Vesting Date of Unvested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 of Equity</w:t>
            </w:r>
          </w:p>
        </w:tc>
        <w:tc>
          <w:tcPr>
            <w:tcW w:w="1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Adjusted</w:t>
            </w: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1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Unvested as of Last Day of</w:t>
            </w:r>
          </w:p>
        </w:tc>
        <w:tc>
          <w:tcPr>
            <w:tcW w:w="204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Unvested Equity Awards for</w:t>
            </w:r>
          </w:p>
        </w:tc>
        <w:tc>
          <w:tcPr>
            <w:tcW w:w="1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During Year that Vested</w:t>
            </w:r>
          </w:p>
        </w:tc>
        <w:tc>
          <w:tcPr>
            <w:tcW w:w="120" w:type="dxa"/>
            <w:vAlign w:val="bottom"/>
          </w:tcPr>
          <w:p>
            <w:pPr>
              <w:spacing w:after="0"/>
              <w:rPr>
                <w:sz w:val="11"/>
                <w:szCs w:val="11"/>
                <w:color w:val="auto"/>
              </w:rPr>
            </w:pPr>
          </w:p>
        </w:tc>
        <w:tc>
          <w:tcPr>
            <w:tcW w:w="18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Equity Awards that Vested</w:t>
            </w:r>
          </w:p>
        </w:tc>
        <w:tc>
          <w:tcPr>
            <w:tcW w:w="1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Awards Forfeited During</w:t>
            </w:r>
          </w:p>
        </w:tc>
        <w:tc>
          <w:tcPr>
            <w:tcW w:w="100" w:type="dxa"/>
            <w:vAlign w:val="bottom"/>
          </w:tcPr>
          <w:p>
            <w:pPr>
              <w:spacing w:after="0"/>
              <w:rPr>
                <w:sz w:val="11"/>
                <w:szCs w:val="11"/>
                <w:color w:val="auto"/>
              </w:rPr>
            </w:pPr>
          </w:p>
        </w:tc>
        <w:tc>
          <w:tcPr>
            <w:tcW w:w="12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Justin Klee</w:t>
            </w: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Justin Klee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Justin Klee</w:t>
            </w: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Justin Klee</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Justin Klee</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Justin Klee</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5,173,379</w:t>
            </w:r>
          </w:p>
        </w:tc>
        <w:tc>
          <w:tcPr>
            <w:tcW w:w="1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4,288,660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ind w:left="16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1,559,753</w:t>
            </w:r>
          </w:p>
        </w:tc>
        <w:tc>
          <w:tcPr>
            <w:tcW w:w="100" w:type="dxa"/>
            <w:vAlign w:val="bottom"/>
            <w:shd w:val="clear" w:color="auto" w:fill="CFF0FC"/>
          </w:tcPr>
          <w:p>
            <w:pPr>
              <w:spacing w:after="0"/>
              <w:rPr>
                <w:sz w:val="12"/>
                <w:szCs w:val="12"/>
                <w:color w:val="auto"/>
              </w:rPr>
            </w:pPr>
          </w:p>
        </w:tc>
        <w:tc>
          <w:tcPr>
            <w:tcW w:w="1780" w:type="dxa"/>
            <w:vAlign w:val="bottom"/>
            <w:shd w:val="clear" w:color="auto" w:fill="CFF0FC"/>
          </w:tcPr>
          <w:p>
            <w:pPr>
              <w:ind w:left="16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11,021,792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2,777,461</w:t>
            </w:r>
          </w:p>
        </w:tc>
        <w:tc>
          <w:tcPr>
            <w:tcW w:w="20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(2,416,000)</w:t>
            </w:r>
          </w:p>
        </w:tc>
        <w:tc>
          <w:tcPr>
            <w:tcW w:w="176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9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(552,964)</w:t>
            </w:r>
          </w:p>
        </w:tc>
        <w:tc>
          <w:tcPr>
            <w:tcW w:w="1780" w:type="dxa"/>
            <w:vAlign w:val="bottom"/>
          </w:tcPr>
          <w:p>
            <w:pPr>
              <w:ind w:left="16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(191,503)</w:t>
            </w:r>
          </w:p>
        </w:tc>
        <w:tc>
          <w:tcPr>
            <w:tcW w:w="0" w:type="dxa"/>
            <w:vAlign w:val="bottom"/>
          </w:tcPr>
          <w:p>
            <w:pPr>
              <w:spacing w:after="0"/>
              <w:rPr>
                <w:sz w:val="1"/>
                <w:szCs w:val="1"/>
                <w:color w:val="auto"/>
              </w:rPr>
            </w:pPr>
          </w:p>
        </w:tc>
      </w:tr>
      <w:tr>
        <w:trPr>
          <w:trHeight w:val="148"/>
        </w:trPr>
        <w:tc>
          <w:tcPr>
            <w:tcW w:w="5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2,907,378</w:t>
            </w:r>
          </w:p>
        </w:tc>
        <w:tc>
          <w:tcPr>
            <w:tcW w:w="204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(5,721,351)</w:t>
            </w:r>
          </w:p>
        </w:tc>
        <w:tc>
          <w:tcPr>
            <w:tcW w:w="1760" w:type="dxa"/>
            <w:vAlign w:val="bottom"/>
            <w:shd w:val="clear" w:color="auto" w:fill="CFF0FC"/>
          </w:tcPr>
          <w:p>
            <w:pPr>
              <w:ind w:left="16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98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(4,663,794)</w:t>
            </w:r>
          </w:p>
        </w:tc>
        <w:tc>
          <w:tcPr>
            <w:tcW w:w="1780" w:type="dxa"/>
            <w:vAlign w:val="bottom"/>
            <w:shd w:val="clear" w:color="auto" w:fill="CFF0FC"/>
          </w:tcPr>
          <w:p>
            <w:pPr>
              <w:ind w:left="16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(7,477,767)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Year-End Fair</w:t>
            </w:r>
          </w:p>
        </w:tc>
        <w:tc>
          <w:tcPr>
            <w:tcW w:w="120" w:type="dxa"/>
            <w:vAlign w:val="bottom"/>
          </w:tcPr>
          <w:p>
            <w:pPr>
              <w:spacing w:after="0"/>
              <w:rPr>
                <w:sz w:val="13"/>
                <w:szCs w:val="13"/>
                <w:color w:val="auto"/>
              </w:rPr>
            </w:pPr>
          </w:p>
        </w:tc>
        <w:tc>
          <w:tcPr>
            <w:tcW w:w="1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 Change in Fair</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Vesting-Date Fair</w:t>
            </w:r>
          </w:p>
        </w:tc>
        <w:tc>
          <w:tcPr>
            <w:tcW w:w="12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Change in Fair</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 Addition</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 Day of</w:t>
            </w: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Fair Value at Last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Year That</w:t>
            </w: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 Day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Vesting Date</w:t>
            </w:r>
          </w:p>
        </w:tc>
        <w:tc>
          <w:tcPr>
            <w:tcW w:w="1880" w:type="dxa"/>
            <w:vAlign w:val="bottom"/>
            <w:gridSpan w:val="2"/>
            <w:vMerge w:val="continue"/>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Adjusted</w:t>
            </w: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 Unvested as of</w:t>
            </w: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Last Day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Year that</w:t>
            </w:r>
          </w:p>
        </w:tc>
        <w:tc>
          <w:tcPr>
            <w:tcW w:w="12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 Equity Awards</w:t>
            </w:r>
          </w:p>
        </w:tc>
        <w:tc>
          <w:tcPr>
            <w:tcW w:w="1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of Equity</w:t>
            </w: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for Non-</w:t>
            </w: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Year of Unvested Equity</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 for</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During Year for</w:t>
            </w:r>
          </w:p>
        </w:tc>
        <w:tc>
          <w:tcPr>
            <w:tcW w:w="1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Forfeited During</w:t>
            </w: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 NEOs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 NEOs</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1,965,171</w:t>
            </w:r>
          </w:p>
        </w:tc>
        <w:tc>
          <w:tcPr>
            <w:tcW w:w="1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1,457,135</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ind w:left="16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8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689,996</w:t>
            </w:r>
          </w:p>
        </w:tc>
        <w:tc>
          <w:tcPr>
            <w:tcW w:w="10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4,114,327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920,443</w:t>
            </w:r>
          </w:p>
        </w:tc>
        <w:tc>
          <w:tcPr>
            <w:tcW w:w="20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(1,073,572)</w:t>
            </w:r>
          </w:p>
        </w:tc>
        <w:tc>
          <w:tcPr>
            <w:tcW w:w="176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9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(457,625)</w:t>
            </w:r>
          </w:p>
        </w:tc>
        <w:tc>
          <w:tcPr>
            <w:tcW w:w="1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(608,730)</w:t>
            </w:r>
          </w:p>
        </w:tc>
        <w:tc>
          <w:tcPr>
            <w:tcW w:w="0" w:type="dxa"/>
            <w:vAlign w:val="bottom"/>
          </w:tcPr>
          <w:p>
            <w:pPr>
              <w:spacing w:after="0"/>
              <w:rPr>
                <w:sz w:val="1"/>
                <w:szCs w:val="1"/>
                <w:color w:val="auto"/>
              </w:rPr>
            </w:pPr>
          </w:p>
        </w:tc>
      </w:tr>
      <w:tr>
        <w:trPr>
          <w:trHeight w:val="148"/>
        </w:trPr>
        <w:tc>
          <w:tcPr>
            <w:tcW w:w="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1,199,553</w:t>
            </w:r>
          </w:p>
        </w:tc>
        <w:tc>
          <w:tcPr>
            <w:tcW w:w="204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(1,766,664)</w:t>
            </w:r>
          </w:p>
        </w:tc>
        <w:tc>
          <w:tcPr>
            <w:tcW w:w="1760" w:type="dxa"/>
            <w:vAlign w:val="bottom"/>
            <w:shd w:val="clear" w:color="auto" w:fill="CFF0FC"/>
          </w:tcPr>
          <w:p>
            <w:pPr>
              <w:ind w:left="16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98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(2,651,863)</w:t>
            </w:r>
          </w:p>
        </w:tc>
        <w:tc>
          <w:tcPr>
            <w:tcW w:w="1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(696,708)</w:t>
            </w: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(3,913,659)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above tables omit columns relating to adjustments necessary for awards granted during the applicable year that vested during the same year or any dividends paid during the applicable year, in each case, because no such adjustments were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Company Total Shareholder Return (“TSR”)</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Compenjsation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114300</wp:posOffset>
            </wp:positionV>
            <wp:extent cx="4380230" cy="32918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8023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Net Income</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114300</wp:posOffset>
            </wp:positionV>
            <wp:extent cx="4560570" cy="32918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6057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shares of common stock that may be issued under our equity compensation plans.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2"/>
                <w:szCs w:val="12"/>
                <w:color w:val="auto"/>
              </w:rPr>
            </w:pPr>
          </w:p>
        </w:tc>
        <w:tc>
          <w:tcPr>
            <w:tcW w:w="1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2"/>
                <w:szCs w:val="12"/>
                <w:color w:val="auto"/>
              </w:rPr>
            </w:pPr>
          </w:p>
        </w:tc>
        <w:tc>
          <w:tcPr>
            <w:tcW w:w="1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60" w:type="dxa"/>
            <w:vAlign w:val="bottom"/>
          </w:tcPr>
          <w:p>
            <w:pPr>
              <w:spacing w:after="0"/>
              <w:rPr>
                <w:sz w:val="12"/>
                <w:szCs w:val="12"/>
                <w:color w:val="auto"/>
              </w:rPr>
            </w:pPr>
          </w:p>
        </w:tc>
        <w:tc>
          <w:tcPr>
            <w:tcW w:w="1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60" w:type="dxa"/>
            <w:vAlign w:val="bottom"/>
          </w:tcPr>
          <w:p>
            <w:pPr>
              <w:spacing w:after="0"/>
              <w:rPr>
                <w:sz w:val="12"/>
                <w:szCs w:val="12"/>
                <w:color w:val="auto"/>
              </w:rPr>
            </w:pPr>
          </w:p>
        </w:tc>
        <w:tc>
          <w:tcPr>
            <w:tcW w:w="1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1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840" w:type="dxa"/>
            <w:vAlign w:val="bottom"/>
            <w:tcBorders>
              <w:top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Equity compensation plans approved by</w:t>
            </w:r>
          </w:p>
        </w:tc>
        <w:tc>
          <w:tcPr>
            <w:tcW w:w="120" w:type="dxa"/>
            <w:vAlign w:val="bottom"/>
            <w:shd w:val="clear" w:color="auto" w:fill="CFF0FC"/>
          </w:tcPr>
          <w:p>
            <w:pPr>
              <w:spacing w:after="0"/>
              <w:rPr>
                <w:sz w:val="10"/>
                <w:szCs w:val="10"/>
                <w:color w:val="auto"/>
              </w:rPr>
            </w:pPr>
          </w:p>
        </w:tc>
        <w:tc>
          <w:tcPr>
            <w:tcW w:w="174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30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ind w:left="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security holders (1)</w:t>
            </w:r>
          </w:p>
        </w:tc>
        <w:tc>
          <w:tcPr>
            <w:tcW w:w="192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13,878,662</w:t>
            </w:r>
          </w:p>
        </w:tc>
        <w:tc>
          <w:tcPr>
            <w:tcW w:w="30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11.88</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w:t>
            </w:r>
          </w:p>
        </w:tc>
        <w:tc>
          <w:tcPr>
            <w:tcW w:w="1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7,449,144</w:t>
            </w:r>
          </w:p>
        </w:tc>
        <w:tc>
          <w:tcPr>
            <w:tcW w:w="64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spacing w:after="0"/>
              <w:rPr>
                <w:sz w:val="11"/>
                <w:szCs w:val="11"/>
                <w:color w:val="auto"/>
              </w:rPr>
            </w:pPr>
          </w:p>
        </w:tc>
        <w:tc>
          <w:tcPr>
            <w:tcW w:w="1920" w:type="dxa"/>
            <w:vAlign w:val="bottom"/>
            <w:gridSpan w:val="3"/>
            <w:vMerge w:val="continue"/>
            <w:shd w:val="clear" w:color="auto" w:fill="CFF0FC"/>
          </w:tcPr>
          <w:p>
            <w:pPr>
              <w:spacing w:after="0"/>
              <w:rPr>
                <w:sz w:val="11"/>
                <w:szCs w:val="11"/>
                <w:color w:val="auto"/>
              </w:rPr>
            </w:pPr>
          </w:p>
        </w:tc>
        <w:tc>
          <w:tcPr>
            <w:tcW w:w="300" w:type="dxa"/>
            <w:vAlign w:val="bottom"/>
            <w:vMerge w:val="continue"/>
            <w:shd w:val="clear" w:color="auto" w:fill="CFF0FC"/>
          </w:tcPr>
          <w:p>
            <w:pPr>
              <w:spacing w:after="0"/>
              <w:rPr>
                <w:sz w:val="11"/>
                <w:szCs w:val="11"/>
                <w:color w:val="auto"/>
              </w:rPr>
            </w:pPr>
          </w:p>
        </w:tc>
        <w:tc>
          <w:tcPr>
            <w:tcW w:w="220" w:type="dxa"/>
            <w:vAlign w:val="bottom"/>
            <w:gridSpan w:val="2"/>
            <w:vMerge w:val="continue"/>
            <w:shd w:val="clear" w:color="auto" w:fill="CFF0FC"/>
          </w:tcPr>
          <w:p>
            <w:pPr>
              <w:spacing w:after="0"/>
              <w:rPr>
                <w:sz w:val="11"/>
                <w:szCs w:val="11"/>
                <w:color w:val="auto"/>
              </w:rPr>
            </w:pPr>
          </w:p>
        </w:tc>
        <w:tc>
          <w:tcPr>
            <w:tcW w:w="134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vMerge w:val="continue"/>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Equity compensation plans not approved</w:t>
            </w: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by security holders (6)</w:t>
            </w:r>
          </w:p>
        </w:tc>
        <w:tc>
          <w:tcPr>
            <w:tcW w:w="1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343,767</w:t>
            </w:r>
          </w:p>
        </w:tc>
        <w:tc>
          <w:tcPr>
            <w:tcW w:w="3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13.69</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w:t>
            </w:r>
          </w:p>
        </w:tc>
        <w:tc>
          <w:tcPr>
            <w:tcW w:w="1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360,167</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9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14,222,429</w:t>
            </w:r>
          </w:p>
        </w:tc>
        <w:tc>
          <w:tcPr>
            <w:tcW w:w="3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16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7,809,311</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9" w:lineRule="exact"/>
        <w:rPr>
          <w:sz w:val="20"/>
          <w:szCs w:val="20"/>
          <w:color w:val="auto"/>
        </w:rPr>
      </w:pPr>
    </w:p>
    <w:p>
      <w:pPr>
        <w:ind w:left="520" w:right="120" w:hanging="512"/>
        <w:spacing w:after="0" w:line="269" w:lineRule="auto"/>
        <w:tabs>
          <w:tab w:leader="none" w:pos="5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our 2015 Stock Option and Restricted Stock Plan (the “2015 Plan”), (ii) our 2022 Stock Option and Incentive Plan (the “2022 Plan”), and (iii) our 2022 Employee Stock Purchase Plan (the “ESPP”).</w:t>
      </w:r>
    </w:p>
    <w:p>
      <w:pPr>
        <w:ind w:left="520" w:right="80" w:hanging="512"/>
        <w:spacing w:after="0" w:line="264" w:lineRule="auto"/>
        <w:tabs>
          <w:tab w:leader="none" w:pos="5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9,143,951 shares of common stock issuable upon the exercise of outstanding options, 2,645,217 shares of common stock issuable upon the settlement of outstanding RSUs and 2,089,494 shares of common stock issuable upon the settlement of outstanding PSUs.</w:t>
      </w:r>
    </w:p>
    <w:p>
      <w:pPr>
        <w:ind w:left="520" w:hanging="512"/>
        <w:spacing w:after="0"/>
        <w:tabs>
          <w:tab w:leader="none" w:pos="5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average exercise price of outstanding stock options, calculated excluding RSUs and PSUs because neither have an exercise price.</w:t>
      </w:r>
    </w:p>
    <w:p>
      <w:pPr>
        <w:spacing w:after="0" w:line="18" w:lineRule="exact"/>
        <w:rPr>
          <w:rFonts w:ascii="Times New Roman" w:cs="Times New Roman" w:eastAsia="Times New Roman" w:hAnsi="Times New Roman"/>
          <w:sz w:val="16"/>
          <w:szCs w:val="16"/>
          <w:color w:val="auto"/>
        </w:rPr>
      </w:pPr>
    </w:p>
    <w:p>
      <w:pPr>
        <w:ind w:left="520" w:right="20" w:hanging="512"/>
        <w:spacing w:after="0" w:line="288" w:lineRule="auto"/>
        <w:tabs>
          <w:tab w:leader="none" w:pos="5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there were 4,815,653 shares available for grant under the 2022 Plan (which amount excludes the 5,494,225 shares which were added to the number of shares available for grant under the 2022 Plan on January 1, 2026 pursuant to the automatic</w:t>
      </w:r>
    </w:p>
    <w:p>
      <w:pPr>
        <w:sectPr>
          <w:pgSz w:w="11900" w:h="16838" w:orient="portrait"/>
          <w:cols w:equalWidth="0" w:num="1">
            <w:col w:w="11060"/>
          </w:cols>
          <w:pgMar w:left="320" w:top="765" w:right="519" w:bottom="1440" w:gutter="0" w:footer="0" w:header="0"/>
        </w:sect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5" w:right="5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right="80"/>
        <w:spacing w:after="0" w:line="269" w:lineRule="auto"/>
        <w:rPr>
          <w:sz w:val="20"/>
          <w:szCs w:val="20"/>
          <w:color w:val="auto"/>
        </w:rPr>
      </w:pPr>
      <w:r>
        <w:rPr>
          <w:rFonts w:ascii="Times New Roman" w:cs="Times New Roman" w:eastAsia="Times New Roman" w:hAnsi="Times New Roman"/>
          <w:sz w:val="16"/>
          <w:szCs w:val="16"/>
          <w:color w:val="auto"/>
        </w:rPr>
        <w:t>annual increase). As of December 31, 2025, there were 2,633,491 shares available for issuance under the ESPP (which amount excludes the 1,098,845 shares which were added to the number of shares available for grant under the ESPP on January 1, 2026 pursuant to the automatic annual increase).</w:t>
      </w:r>
    </w:p>
    <w:p>
      <w:pPr>
        <w:ind w:left="520" w:hanging="512"/>
        <w:spacing w:after="0" w:line="264" w:lineRule="auto"/>
        <w:tabs>
          <w:tab w:leader="none" w:pos="5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determined not to grant any additional awards under the 2015 Plan following the date of our IPO, but all outstanding awards under the 2015 Plan will continue to be governed by their existing terms. The shares of common stock underlying any awards granted under the 2015 Plan or 2022 Plan that are forfeited, canceled, reacquired by us prior to vesting, satisfied without the issuance of stock, or otherwise terminated (other than by exercise) and the shares of common stock that are withheld upon exercise of a stock option or settlement of such award to cover the exercise price or tax withholding will be added to the shares of common stock available for issuance under the 2022 Plan. The 2022 Plan provides that the number of shares reserved and available for issuance under the plan will automatically increase each January 1, beginning on January 1, 2023, by 5% of the outstanding number of shares of our common stock on the immediately preceding December 31 or such lesser number of shares as determined by our compensation committee. The ESPP provides that the number of shares reserved and available for issuance will automatically increase each January 1, beginning on January 1, 2023, through January 1, 2032, by the least of 1,210,000 shares of our common stock, 1% of the outstanding number of shares of our common stock on the immediately preceding December 31, or such lesser number of shares as determined by our compensation committee.</w:t>
      </w:r>
    </w:p>
    <w:p>
      <w:pPr>
        <w:spacing w:after="0" w:line="1"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our 2023 Inducement Plan.</w:t>
      </w:r>
    </w:p>
    <w:p>
      <w:pPr>
        <w:spacing w:after="0" w:line="18" w:lineRule="exact"/>
        <w:rPr>
          <w:rFonts w:ascii="Times New Roman" w:cs="Times New Roman" w:eastAsia="Times New Roman" w:hAnsi="Times New Roman"/>
          <w:sz w:val="16"/>
          <w:szCs w:val="16"/>
          <w:color w:val="auto"/>
        </w:rPr>
      </w:pPr>
    </w:p>
    <w:p>
      <w:pPr>
        <w:ind w:left="520" w:right="360" w:hanging="512"/>
        <w:spacing w:after="0" w:line="264" w:lineRule="auto"/>
        <w:tabs>
          <w:tab w:leader="none" w:pos="5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263,900 shares of common stock issuable upon the exercise of outstanding options and 79,867 shares of common stock issuable upon the settlement of outstanding RSUs.</w:t>
      </w:r>
    </w:p>
    <w:p>
      <w:pPr>
        <w:ind w:left="520" w:hanging="512"/>
        <w:spacing w:after="0"/>
        <w:tabs>
          <w:tab w:leader="none" w:pos="5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there were 360,167 shares available for grant under the 2023 Inducement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rules adopted pursuant to the Dodd-Frank Act, we are required to calculate and disclose the total compensation paid to our median paid employee, as well as the ratio of the total compensation paid to the median paid employee as compared to the total compensation paid to our Co-Chief Executive Officers (the “CEO Pay Ratio”). The paragraphs that follow describe our methodology and the resulting CEO Pay Ratio.</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identified the median paid employee using our employee population on December 31, 2025, including all employees (except our Co-Chief Executive Officers). We identified the median employee using the employee's annualized total compensation in accordance with the requirements of the Summary Compensation Table as of December 31, 2025 for all active employees as of that date. Our median paid employee compensation as calculated using Summary Compensation Table requirements was $298,360. The compensation for each of our Co-Chief Executive Officers as reported in the Summary Compensation Table was $2,719,807. Therefore, our CEO Pay Ratio is approximately 9:1.</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used the CEO Pay Ratio measure in making compensation decisions.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the fiscal year ended December 31, 2025. Other than as set forth in the table and described more fully below, we did not pay any compensation, make any equity awards or non-equity awards to, or pay any other compensation to any of the non-employee members of our board of directors in 2025 for their services as members of the board of directors. Joshua Cohen and Justin Klee, our Co-Chief Executive Officers, received no additional compensation for their service as directors. See the section titled “</w:t>
      </w:r>
      <w:r>
        <w:rPr>
          <w:rFonts w:ascii="Times New Roman" w:cs="Times New Roman" w:eastAsia="Times New Roman" w:hAnsi="Times New Roman"/>
          <w:sz w:val="18"/>
          <w:szCs w:val="18"/>
          <w:i w:val="1"/>
          <w:iCs w:val="1"/>
          <w:color w:val="auto"/>
        </w:rPr>
        <w:t>Executive Compensation—Executive Compensation Tables—2025 Summary Compensation Table</w:t>
      </w:r>
      <w:r>
        <w:rPr>
          <w:rFonts w:ascii="Times New Roman" w:cs="Times New Roman" w:eastAsia="Times New Roman" w:hAnsi="Times New Roman"/>
          <w:sz w:val="18"/>
          <w:szCs w:val="18"/>
          <w:color w:val="auto"/>
        </w:rPr>
        <w:t>” for more information on the compensation paid to or earned by Messrs. Cohen and Klee as employees for the year ended December 31, 2025.</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20" w:type="dxa"/>
            <w:vAlign w:val="bottom"/>
          </w:tcPr>
          <w:p>
            <w:pPr>
              <w:spacing w:after="0"/>
              <w:rPr>
                <w:sz w:val="13"/>
                <w:szCs w:val="13"/>
                <w:color w:val="auto"/>
              </w:rPr>
            </w:pPr>
          </w:p>
        </w:tc>
        <w:tc>
          <w:tcPr>
            <w:tcW w:w="1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Pr>
          <w:p>
            <w:pPr>
              <w:spacing w:after="0"/>
              <w:rPr>
                <w:sz w:val="13"/>
                <w:szCs w:val="13"/>
                <w:color w:val="auto"/>
              </w:rPr>
            </w:pPr>
          </w:p>
        </w:tc>
        <w:tc>
          <w:tcPr>
            <w:tcW w:w="1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($)(1)(2)(3)</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George Mclean Milne Jr., Ph.D.</w:t>
            </w:r>
          </w:p>
        </w:tc>
        <w:tc>
          <w:tcPr>
            <w:tcW w:w="1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117,500</w:t>
            </w:r>
          </w:p>
        </w:tc>
        <w:tc>
          <w:tcPr>
            <w:tcW w:w="14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101,078</w:t>
            </w:r>
          </w:p>
        </w:tc>
        <w:tc>
          <w:tcPr>
            <w:tcW w:w="14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218,578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Daphne Quimi</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72,500</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101,078</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173,578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Paul Fonteyne</w:t>
            </w:r>
          </w:p>
        </w:tc>
        <w:tc>
          <w:tcPr>
            <w:tcW w:w="1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101,078</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Bernhardt Zeiher, M.D.</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101,078</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Karen Firestone</w:t>
            </w:r>
          </w:p>
        </w:tc>
        <w:tc>
          <w:tcPr>
            <w:tcW w:w="1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101,078</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8572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50" w:lineRule="exact"/>
        <w:rPr>
          <w:sz w:val="20"/>
          <w:szCs w:val="20"/>
          <w:color w:val="auto"/>
        </w:rPr>
      </w:pPr>
    </w:p>
    <w:p>
      <w:pPr>
        <w:ind w:left="520" w:right="80" w:hanging="512"/>
        <w:spacing w:after="0" w:line="266" w:lineRule="auto"/>
        <w:tabs>
          <w:tab w:leader="none" w:pos="5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aggregate grant date fair value of the stock options awarded to the non-employee directors during fiscal year 2025, calculated in accordance with FASB ASC Topic 718. Such grant date fair value does not take into account any estimated forfeitures. The assumptions used in calculating the grant date fair value of the awards reported in this column are set forth in Note 10 to our consolidated financial statements included in our 2025 Annual Report. The amounts reported in this column reflect the accounting cost for the stock options and do not correspond to the actual economic value that may be received upon vesting or exercise of the stock options or any sale of any of the underlying shares of common stock.</w:t>
      </w:r>
    </w:p>
    <w:p>
      <w:pPr>
        <w:ind w:left="520" w:hanging="512"/>
        <w:spacing w:after="0"/>
        <w:tabs>
          <w:tab w:leader="none" w:pos="5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non-employee members of our board of directors held the following aggregate number of exercisable and unexercisable options: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 Held at</w:t>
            </w:r>
          </w:p>
        </w:tc>
        <w:tc>
          <w:tcPr>
            <w:tcW w:w="0" w:type="dxa"/>
            <w:vAlign w:val="bottom"/>
          </w:tcPr>
          <w:p>
            <w:pPr>
              <w:spacing w:after="0"/>
              <w:rPr>
                <w:sz w:val="1"/>
                <w:szCs w:val="1"/>
                <w:color w:val="auto"/>
              </w:rPr>
            </w:pPr>
          </w:p>
        </w:tc>
      </w:tr>
      <w:tr>
        <w:trPr>
          <w:trHeight w:val="173"/>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Year-End</w:t>
            </w: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11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Exercisable (#)</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Unexercisable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George Mclean Milne Jr., Ph.D.</w:t>
            </w:r>
          </w:p>
        </w:tc>
        <w:tc>
          <w:tcPr>
            <w:tcW w:w="80" w:type="dxa"/>
            <w:vAlign w:val="bottom"/>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71,385</w:t>
            </w:r>
          </w:p>
        </w:tc>
        <w:tc>
          <w:tcPr>
            <w:tcW w:w="160" w:type="dxa"/>
            <w:vAlign w:val="bottom"/>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Daphne Quimi</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150,485</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Paul Fonteyne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150,485</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Bernhardt Zeiher, M.D.</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34,919</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Karen Firestone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54,027</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27,284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non-employee member of our board of directors held unvested RSUs as of December 31, 2025.</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our IPO, our board of directors adopted a non-employee director compensation policy. Our non-employee director compensation policy, as amended (the “non-employee director compensation policy”), is designed to enable us to attract and retain, on a long-term basis, highly qualified non-employee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policy, each director who is not an employee was paid cash compensation as set forth below for the 2025 fiscal year:</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Annual Retainer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Members (other than chair)</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Audit Committee: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Science and Technology Committee: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In addition, the non-employee director compensation policy provides that, upon initial election to our board of directors, each non-employee director will be granted an equity award of stock options to purchase the lesser of (x) a stock option with a grant date fair value of $570,000 or (y) a stock option to purchase 50,000 shares (the “Initial Grant”). The Initial Grant will vest one-third on the first anniversary of the date of grant, and the remaining two-thirds will vest in equal monthly installments over two years, provided, however, that all vesting shall cease if the director resigns from the board of directors or otherwise ceases to service as our director. Furthermore, on the date of each of our annual meeting of stockholders, each non-employee director who continues as a non-employee director following such meeting will be granted an annual equity award of stock options to purchase the lesser of (x) a stock option with a grant date fair value of $285,000 or (y) a stock option to purchase 25,000 shares (the “Annual Grant”). The Annual Grant will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 circumstances warrant continuation of vesting. In addition, all vested options remain exercisable for twelve (12) months if the director resigns from the board of directors or otherwise ceases to serve as a director. Notwithstanding the foregoing, if an outside director was initially elected to the board of directors within twelve</w:t>
      </w:r>
    </w:p>
    <w:p>
      <w:pPr>
        <w:spacing w:after="0" w:line="2" w:lineRule="exact"/>
        <w:rPr>
          <w:sz w:val="20"/>
          <w:szCs w:val="20"/>
          <w:color w:val="auto"/>
        </w:rPr>
      </w:pPr>
    </w:p>
    <w:p>
      <w:pPr>
        <w:ind w:right="60" w:firstLine="8"/>
        <w:spacing w:after="0" w:line="260" w:lineRule="auto"/>
        <w:tabs>
          <w:tab w:leader="none" w:pos="3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preceding the annual meeting, then such outside director shall receive an Annual Grant that is pro-rated on a monthly basis for time serving as an outside director.</w:t>
      </w:r>
    </w:p>
    <w:p>
      <w:pPr>
        <w:spacing w:after="0" w:line="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January 2026, our board of directors amended the non-employee director compensation policy, effective as of January 1, 2026, to (i) increase the limit on initial equity awards to 62,000 shares from 50,000 shares, and (ii) increase the annual equity awards to 31,000 shares from 25,000 shares. The board of directors adopted these changes to better align the total annual compensation of our directors with the median of our peer group.</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Upon a “sale event” (as defined in our 2022 Plan), all outstanding Initial Awards and Annual Awards held by outside directors fully accelerate and become fully vested and exercisable.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80" w:firstLine="2694"/>
        <w:spacing w:after="0" w:line="439"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Certain Relationships and Transactions</w:t>
      </w:r>
    </w:p>
    <w:p>
      <w:pPr>
        <w:spacing w:after="0" w:line="1"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in this proxy statement and the transactions described below, since January 1, 2024, there has not been and there is not currently proposed, any transaction or series of similar transactions to which we were, or will be, a party in which the amount involved exceeded, or will exceed, $120,000 (or, if less than $120,000, one percent of the average of our total assets on December 31, 2024 and 2025) and in which any director, executive officer, holder of more than five percent of any class of our capital stock or any member of the immediate family of, or entities affiliated with, any of the foregoing persons, had, or will have, a direct or indirect material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9"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Executive Compensation—Employment Arrangements with our Named Executive Officers</w:t>
      </w:r>
      <w:r>
        <w:rPr>
          <w:rFonts w:ascii="Times New Roman" w:cs="Times New Roman" w:eastAsia="Times New Roman" w:hAnsi="Times New Roman"/>
          <w:sz w:val="18"/>
          <w:szCs w:val="18"/>
          <w:color w:val="auto"/>
        </w:rPr>
        <w:t>” for a further discussion of these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our directors and officers to the fullest extent permitted by Delaware law. In addition, we enter into indemnification agreements with our officers and directors that may be broader in scope than the specific indemnification provisions contained in the Delaware General Corporation Law. See “</w:t>
      </w:r>
      <w:r>
        <w:rPr>
          <w:rFonts w:ascii="Times New Roman" w:cs="Times New Roman" w:eastAsia="Times New Roman" w:hAnsi="Times New Roman"/>
          <w:sz w:val="18"/>
          <w:szCs w:val="18"/>
          <w:i w:val="1"/>
          <w:iCs w:val="1"/>
          <w:color w:val="auto"/>
        </w:rPr>
        <w:t>Limitation of Liability and Indemnification of Officers and Directors</w:t>
      </w:r>
      <w:r>
        <w:rPr>
          <w:rFonts w:ascii="Times New Roman" w:cs="Times New Roman" w:eastAsia="Times New Roman" w:hAnsi="Times New Roman"/>
          <w:sz w:val="18"/>
          <w:szCs w:val="18"/>
          <w:color w:val="auto"/>
        </w:rPr>
        <w:t>” below for additional information regarding these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permitted by Delaware law, provisions in our certificate of incorporation and bylaws limit or eliminate the personal liability of directors for a breach of their fiduciary duty of care as a director. The duty of care generally requires that, when acting on behalf of the corporation, a director exercises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72"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payments of dividends;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certificate of incorporation also authorizes us to indemnify our officers, directors and other agents to the fullest extent permitted under Delaware law.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Delaware law, our bylaws provide that:</w:t>
      </w:r>
    </w:p>
    <w:p>
      <w:pPr>
        <w:spacing w:after="0" w:line="117" w:lineRule="exact"/>
        <w:rPr>
          <w:sz w:val="20"/>
          <w:szCs w:val="20"/>
          <w:color w:val="auto"/>
        </w:rPr>
      </w:pPr>
    </w:p>
    <w:p>
      <w:pPr>
        <w:ind w:left="1140" w:right="30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employees and other agents to the fullest extent permitted by law;</w:t>
      </w:r>
    </w:p>
    <w:p>
      <w:pPr>
        <w:spacing w:after="0" w:line="53" w:lineRule="exact"/>
        <w:rPr>
          <w:rFonts w:ascii="Times New Roman" w:cs="Times New Roman" w:eastAsia="Times New Roman" w:hAnsi="Times New Roman"/>
          <w:sz w:val="18"/>
          <w:szCs w:val="18"/>
          <w:color w:val="auto"/>
        </w:rPr>
      </w:pPr>
    </w:p>
    <w:p>
      <w:pPr>
        <w:ind w:left="1140" w:right="580" w:hanging="383"/>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including attorneys’ fees, to our directors and, in the discretion of our board of directors, to our officers, employees and other agents, in connection with a legal proceeding relating to their service for or on behalf of us, subject to limited exceptions; and</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bylaws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indemnification provided for in our certificate of incorporation and bylaws, we have entered into indemnification agreements with our directors and executive officers. These indemnification agreements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10, 2026 by:</w:t>
      </w:r>
    </w:p>
    <w:p>
      <w:pPr>
        <w:spacing w:after="0" w:line="54"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entitled “Shares Beneficially Owned” is based on a total of 111,085,857 shares of our common stock outstanding as of April 10, 2026.</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10,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Unless otherwise indicated below, the address for each natural person listed below is c/o Amylyx Pharmaceuticals, Inc., 55 Cambridge Parkway, Suite 6W, Cambridge, MA 02142.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vMerge w:val="restart"/>
          </w:tcPr>
          <w:p>
            <w:pPr>
              <w:spacing w:after="0"/>
              <w:rPr>
                <w:sz w:val="15"/>
                <w:szCs w:val="15"/>
                <w:color w:val="auto"/>
              </w:rPr>
            </w:pPr>
          </w:p>
        </w:tc>
        <w:tc>
          <w:tcPr>
            <w:tcW w:w="356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6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&gt; 5% Stockholders:</w:t>
            </w:r>
          </w:p>
        </w:tc>
        <w:tc>
          <w:tcPr>
            <w:tcW w:w="1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FMR LLC (1)</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16,468,419</w:t>
            </w:r>
          </w:p>
        </w:tc>
        <w:tc>
          <w:tcPr>
            <w:tcW w:w="20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9"/>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Perceptive Advisors LLC (2)</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8,952,365</w:t>
            </w:r>
          </w:p>
        </w:tc>
        <w:tc>
          <w:tcPr>
            <w:tcW w:w="20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48"/>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BlackRock, Inc (3)</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7,783,648</w:t>
            </w:r>
          </w:p>
        </w:tc>
        <w:tc>
          <w:tcPr>
            <w:tcW w:w="20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TCG Crossover GP II, LLC (4)</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6,243,812</w:t>
            </w:r>
          </w:p>
        </w:tc>
        <w:tc>
          <w:tcPr>
            <w:tcW w:w="20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Vanguard Group (5)</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5,804,912</w:t>
            </w:r>
          </w:p>
        </w:tc>
        <w:tc>
          <w:tcPr>
            <w:tcW w:w="20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9"/>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Commodore Capital LP (6)</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5,650,000</w:t>
            </w:r>
          </w:p>
        </w:tc>
        <w:tc>
          <w:tcPr>
            <w:tcW w:w="20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8"/>
        </w:trPr>
        <w:tc>
          <w:tcPr>
            <w:tcW w:w="7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Joshua Cohen (7)</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4,497,039</w:t>
            </w:r>
          </w:p>
        </w:tc>
        <w:tc>
          <w:tcPr>
            <w:tcW w:w="200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9"/>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Justin Klee (8)</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4,496,972</w:t>
            </w:r>
          </w:p>
        </w:tc>
        <w:tc>
          <w:tcPr>
            <w:tcW w:w="20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James Frates (9)</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1,001,752</w:t>
            </w:r>
          </w:p>
        </w:tc>
        <w:tc>
          <w:tcPr>
            <w:tcW w:w="1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Camille L. Bedrosian, M.D. (10)</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461,418</w:t>
            </w:r>
          </w:p>
        </w:tc>
        <w:tc>
          <w:tcPr>
            <w:tcW w:w="1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George Mclean Milne Jr., Ph.D. (11)</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909,266</w:t>
            </w:r>
          </w:p>
        </w:tc>
        <w:tc>
          <w:tcPr>
            <w:tcW w:w="1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Paul Fonteyne (12)</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179,432</w:t>
            </w:r>
          </w:p>
        </w:tc>
        <w:tc>
          <w:tcPr>
            <w:tcW w:w="1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Daphne Quimi (13)</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180,485</w:t>
            </w:r>
          </w:p>
        </w:tc>
        <w:tc>
          <w:tcPr>
            <w:tcW w:w="1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Karen Firestone (14)</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144,411</w:t>
            </w:r>
          </w:p>
        </w:tc>
        <w:tc>
          <w:tcPr>
            <w:tcW w:w="1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Bernhardt Zeiher, M.D. (15)</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76,864</w:t>
            </w:r>
          </w:p>
        </w:tc>
        <w:tc>
          <w:tcPr>
            <w:tcW w:w="18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All executive officers and directors as a group (10 persons) (16)</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12,525,064</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8572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one percent.</w:t>
      </w:r>
    </w:p>
    <w:p>
      <w:pPr>
        <w:spacing w:after="0" w:line="26" w:lineRule="exact"/>
        <w:rPr>
          <w:rFonts w:ascii="Times New Roman" w:cs="Times New Roman" w:eastAsia="Times New Roman" w:hAnsi="Times New Roman"/>
          <w:sz w:val="16"/>
          <w:szCs w:val="16"/>
          <w:color w:val="auto"/>
        </w:rPr>
      </w:pPr>
    </w:p>
    <w:p>
      <w:pPr>
        <w:ind w:left="520" w:right="100" w:hanging="512"/>
        <w:spacing w:after="0" w:line="264" w:lineRule="auto"/>
        <w:tabs>
          <w:tab w:leader="none" w:pos="5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February 5, 2026 by FMR LLC (“FMR”) and Abigail P. Johnson. FMR directly holds 16,468,419 shares of common stock. Ms. Johnson is the Chairwoman and Chief Executive Officer of FMR LLC. The address of the principal business office of FMR and Ms. Johnson is 245 Summer Street, Boston, MA 02210.</w:t>
      </w:r>
    </w:p>
    <w:p>
      <w:pPr>
        <w:ind w:left="520" w:right="120" w:hanging="512"/>
        <w:spacing w:after="0" w:line="264" w:lineRule="auto"/>
        <w:tabs>
          <w:tab w:leader="none" w:pos="5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November 14, 2025 by Perceptive Advisors LLC (“Perceptive Advisors”), Joseph Edelman and Perceptive Life Sciences Master Fund, Ltd. (the “Master Fund”). Neither Perceptive Advisors nor Mr. Edelman directly holds any common stock. The Master Fund directly holds 8,952,365 shares of common stock. Perceptive Advisors serves as the investment manager to the Master Fund. Mr. Edelman is the managing member of Perceptive Advisors. The address of the principal business office of Perceptive Advisors, Mr. Edelman and the Master Fund is 51 Astor Place, 10th Floor, New York, NY 10003.</w:t>
      </w:r>
    </w:p>
    <w:p>
      <w:pPr>
        <w:ind w:left="520" w:right="20" w:hanging="512"/>
        <w:spacing w:after="0" w:line="264" w:lineRule="auto"/>
        <w:tabs>
          <w:tab w:leader="none" w:pos="5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January 21, 2026 by BlackRock, Inc. (“BlackRock”). The address of the principal business office of BlackRock is 50 Hudson Yards, New York, NY 10001.</w:t>
      </w:r>
    </w:p>
    <w:p>
      <w:pPr>
        <w:ind w:left="520" w:right="80" w:hanging="512"/>
        <w:spacing w:after="0" w:line="276" w:lineRule="auto"/>
        <w:tabs>
          <w:tab w:leader="none" w:pos="5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February 17, 2026 by TCG Crossover Fund II, L.P. (“TCG Crossover II”), TCG Crossover GP II, LLC (“TCG Crossover GP II” and together with TCG Crossover II, “TCG”) and Chen Yu. The address of the principal business office of TCG and Chen Yu is 245 Lytton Ave., Suite 350, Palo Alto, CA 94301.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line="266" w:lineRule="auto"/>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with the SEC on January 30, 2026 by The Vanguard Group (“Vanguard”). The address of the principal business office of Vanguard is 100 Vanguard Blvd., Malvern, PA 19355. In a Schedule 13G/A filed by Vanguard on March 26, 2026, Vanguard subsequently reported that due to an internal realignment it no longer has, or is deemed to have, beneficial ownership over securities beneficially owned by various Vanguard subsidiaries and/or business divisions. Vanguard also reported that certain subsidiaries or business divisions that formerly had, or were deemed to have, beneficial ownership with Vanguard will report beneficial ownership separately (on a disaggregated basis).</w:t>
      </w:r>
    </w:p>
    <w:p>
      <w:pPr>
        <w:ind w:left="520" w:right="320" w:hanging="512"/>
        <w:spacing w:after="0" w:line="264" w:lineRule="auto"/>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with the SEC on November 17, 2025 by Commodore Capital LP (the “Firm”), Commodore Capital Master LP (“Commodore Master”), Robert Egen Atkinson, and Michael Kramarz. Neither the Firm, Mr. Atkinson, nor Mr. Kramarz hold any common stock. Commodore Master directly holds 5,650,000 shares of common stock. The Firm serves as the investment manager to Commodore Master. Mr. Atkinson and Mr. Kramarz are the managing partners of the Firm. The address of the principal business office of the Firm, Mr. Atkinson, and Mr. Kramarz is 444 Madison Avenue, Floor 35, New York, NY 10022. The address of the principal business office of Commodore Master is PO Box 309, Grand Cayman KY1-1104, Cayman Islands.</w:t>
      </w: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3,583,548 shares of common stock and (ii) 913,491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3,583,481 shares of common stock and (ii) 913,491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261,628 shares of common stock and (ii) 740,124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265,285 shares of common stock and (ii) 196,133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812,881 shares of common stock and (ii) 96,385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3,947 shares of common stock and (ii) 175,485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5,000 shares of common stock and (ii) 175,485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63,100 shares of common stock and (ii) 81,311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10,000 shares of common stock and (ii) 66,864 shares of common stock underlying stock options exercisable within 60 days of April 10, 2026.</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3,727,104 shares of common stock exercisable within 60 days of April 10, 2026 held by executive officers and directors.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the Company’s financial statements, (2) the Company’s compliance with legal and regulatory requirements, (3) the qualifications, independence and performance of the Company’s independent auditors engaged for the purpose of preparing or issuing an audit report or performing other audit, review or attest services for the Company, and (4) the performance of the Company’s internal audit function.</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and internal controls over financial reporting in accordance with the standards of the Public Company Accounting Oversight Board (the “PCAOB”), and issuing reports thereon. The audit committee’s responsibility is to monitor and oversee these processes.</w:t>
      </w:r>
    </w:p>
    <w:p>
      <w:pPr>
        <w:spacing w:after="0" w:line="7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connection with these responsibilities, the audit committee reviewed and discussed with management and the independent registered public accounting firm the audited financial statements of the Company for the fiscal year ended December 31, 2025. The audit committee also discussed with the applicable requirements of the PCAOB and the SEC. In addition, the audit committee has received written disclosures and the letter from the independent registered public accounting firm as required by applicable requirements of PCAOB regarding the independent registered public accounting firm’s communications with the audit committee concerning independence and has discussed with the independent registered public accounting firm their independence.</w:t>
      </w:r>
    </w:p>
    <w:p>
      <w:pPr>
        <w:spacing w:after="0" w:line="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the Company be included in the Company’s 2025 Annual Report that was filed with the SEC.</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of 1933, as amended, except to the extent that we specifically incorporate it by reference into such filing.</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AUDIT COMMITTEE OF THE BOARD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 DIRECTORS OF AMYLYX PHARMACEUTICALS,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Daphne Quimi, Chairperson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George Mclean Milne Jr., Ph.D.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Karen Firestone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Amylyx Pharmaceuticals, Inc., 55 Cambridge Parkway, Suite 6W, Cambridge, MA 02142, Attention: Corporate Secretary, telephone: +1 (617) 682-0917. If you want to receive separate copies of the proxy statement or the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proxy statement for the 2027 annual meeting must submit the proposal in accordance with the procedures outlined in Rule 14a-8 of the Exchange Act so that it is received by us no later than December 24, 2026. However, if the date of the 2027 annual meeting is changed by more than 30 days from the date of the previous year’s meeting, then the deadline is a reasonable time before we begin to print and send our proxy statement for the 2027 annual meeting. SEC rules set standards for eligibility and specify the types of stockholder proposals that may be excluded from a proxy statement. Stockholder proposals should be addressed to Amylyx Pharmaceuticals, Inc., 55 Cambridge Parkway, Suite 6W, Cambridge, MA 02142, Attention: Corporate Secretary. We also encourage you to submit any such proposals via email to investors@amylyx.com.</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(A)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such annual meeting and (B)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the day on which notice of the date of such annual meeting was mailed or public disclosure of the date of such annual meeting was made. For stockholder proposals to be brought before the 2027 annual meeting, the required notice must be received by our Corporate Secretary at our principal executive offices no earlier than February 4, 2027 and no later than March 6, 2027. Stockholder proposals and the required notice should be addressed to Amylyx Pharmaceuticals, Inc., 55 Cambridge Parkway, Suite 6W, Cambridge, MA 02142, Attention: Corporate Secretary. In addition to the requirements set forth above, stockholders who intend to solicit proxies in support of a shareholder nominee must also comply with the additional requirements of Rule 14a-19(b).</w:t>
      </w:r>
    </w:p>
    <w:p>
      <w:pPr>
        <w:spacing w:after="0" w:line="9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8"/>
          <w:szCs w:val="18"/>
          <w:color w:val="auto"/>
        </w:rPr>
        <w:t>For the Annual Meeting, our bylaws require that for a stockholder’s proposal to be brought before the meeting, a stockholder’s notice must be received by our Corporate Secretary at our principal executive offices not later than the close of business on the later of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scheduled date of such Annual Meeting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Annual Meeting is first made.</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Our Form 10-K for the fiscal year ended December 31, 2025, as filed with the SEC, is accessible free of charge on our website at </w:t>
      </w:r>
      <w:r>
        <w:rPr>
          <w:rFonts w:ascii="Times New Roman" w:cs="Times New Roman" w:eastAsia="Times New Roman" w:hAnsi="Times New Roman"/>
          <w:sz w:val="18"/>
          <w:szCs w:val="18"/>
          <w:i w:val="1"/>
          <w:iCs w:val="1"/>
          <w:color w:val="auto"/>
        </w:rPr>
        <w:t>www.amylyx.com</w:t>
      </w:r>
      <w:r>
        <w:rPr>
          <w:rFonts w:ascii="Times New Roman" w:cs="Times New Roman" w:eastAsia="Times New Roman" w:hAnsi="Times New Roman"/>
          <w:sz w:val="18"/>
          <w:szCs w:val="18"/>
          <w:color w:val="auto"/>
        </w:rPr>
        <w:t>. The Form 10-K contains our audited consolidated balance sheets as of December 31, 2025 and 2024. You can request a copy of our Form 10-K free of charge by sending a written request to Amylyx Pharmaceuticals, Inc., 55 Cambridge Parkway, Suite 6W, Cambridge, MA 02142, Attention: Corporate Secretary. Please include your contact information with the request.</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8510905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6369050" cy="7620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69050" cy="762063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8571230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6369050" cy="76809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69050" cy="7680960"/>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2"/>
    </w:lvl>
  </w:abstractNum>
  <w:abstractNum w:abstractNumId="29">
    <w:nsid w:val="7724C67E"/>
    <w:multiLevelType w:val="hybridMultilevel"/>
    <w:lvl w:ilvl="0">
      <w:lvlJc w:val="left"/>
      <w:lvlText w:val="(%1)"/>
      <w:numFmt w:val="lowerRoman"/>
      <w:start w:val="2"/>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5"/>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3"/>
    </w:lvl>
  </w:abstractNum>
  <w:abstractNum w:abstractNumId="39">
    <w:nsid w:val="6A2342EC"/>
    <w:multiLevelType w:val="hybridMultilevel"/>
    <w:lvl w:ilvl="0">
      <w:lvlJc w:val="left"/>
      <w:lvlText w:val="(%1)"/>
      <w:numFmt w:val="decimal"/>
      <w:start w:val="12"/>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lvl w:ilvl="1">
      <w:lvlJc w:val="left"/>
      <w:lvlText w:val="(%2)"/>
      <w:numFmt w:val="decimal"/>
      <w:start w:val="1"/>
    </w:lvl>
  </w:abstractNum>
  <w:abstractNum w:abstractNumId="44">
    <w:nsid w:val="57E4CCA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2026-04-23T06:06:01Z</dcterms:created>
  <dcterms:modified xsi:type="dcterms:W3CDTF">2026-04-23T06:06:01Z</dcterms:modified>
</cp:coreProperties>
</file>