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0001898314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Amylyx Pharmaceuticals,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001-41199</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55 Cambridge Parkway</w:t>
              <w:br/>
              <w:t>Suite 6W</w:t>
              <w:br/>
              <w:t>Cambridge</w:t>
              <w:br/>
              <w:t xml:space="preserve">MASSACHUSETTS </w:t>
              <w:br/>
              <w:t>02142</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617-682-0917</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Klee Justin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w:t>
            </w:r>
          </w:p>
        </w:tc>
        <w:tc>
          <w:tcPr>
            <w:tcW w:w="1449"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4" w:type="dxa"/>
            <w:tcBorders/>
            <w:vAlign w:val="center"/>
          </w:tcPr>
          <w:p>
            <w:pPr>
              <w:pStyle w:val="TableContents"/>
              <w:bidi w:val="0"/>
              <w:spacing w:before="0" w:after="283"/>
              <w:jc w:val="left"/>
              <w:rPr/>
            </w:pPr>
            <w:r>
              <w:rPr/>
              <w:t>30464</w:t>
            </w:r>
          </w:p>
        </w:tc>
        <w:tc>
          <w:tcPr>
            <w:tcW w:w="1393" w:type="dxa"/>
            <w:tcBorders/>
            <w:vAlign w:val="center"/>
          </w:tcPr>
          <w:p>
            <w:pPr>
              <w:pStyle w:val="TableContents"/>
              <w:bidi w:val="0"/>
              <w:spacing w:before="0" w:after="283"/>
              <w:jc w:val="left"/>
              <w:rPr/>
            </w:pPr>
            <w:r>
              <w:rPr/>
              <w:t>980264</w:t>
            </w:r>
          </w:p>
        </w:tc>
        <w:tc>
          <w:tcPr>
            <w:tcW w:w="1565" w:type="dxa"/>
            <w:tcBorders/>
            <w:vAlign w:val="center"/>
          </w:tcPr>
          <w:p>
            <w:pPr>
              <w:pStyle w:val="TableContents"/>
              <w:bidi w:val="0"/>
              <w:spacing w:before="0" w:after="283"/>
              <w:jc w:val="left"/>
              <w:rPr/>
            </w:pPr>
            <w:r>
              <w:rPr/>
              <w:t>3613056</w:t>
            </w:r>
          </w:p>
        </w:tc>
        <w:tc>
          <w:tcPr>
            <w:tcW w:w="1574" w:type="dxa"/>
            <w:tcBorders/>
            <w:vAlign w:val="center"/>
          </w:tcPr>
          <w:p>
            <w:pPr>
              <w:pStyle w:val="TableContents"/>
              <w:bidi w:val="0"/>
              <w:spacing w:before="0" w:after="283"/>
              <w:jc w:val="left"/>
              <w:rPr/>
            </w:pPr>
            <w:r>
              <w:rPr/>
              <w:t>09/10/2026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096"/>
        <w:gridCol w:w="1986"/>
        <w:gridCol w:w="1133"/>
        <w:gridCol w:w="512"/>
        <w:gridCol w:w="1096"/>
        <w:gridCol w:w="1136"/>
        <w:gridCol w:w="1037"/>
        <w:gridCol w:w="1135"/>
      </w:tblGrid>
      <w:tr>
        <w:trPr/>
        <w:tc>
          <w:tcPr>
            <w:tcW w:w="1074" w:type="dxa"/>
            <w:tcBorders/>
            <w:vAlign w:val="center"/>
          </w:tcPr>
          <w:p>
            <w:pPr>
              <w:pStyle w:val="TableHeading"/>
              <w:suppressLineNumbers/>
              <w:bidi w:val="0"/>
              <w:spacing w:before="0" w:after="283"/>
              <w:jc w:val="center"/>
              <w:rPr/>
            </w:pPr>
            <w:r>
              <w:rPr/>
              <w:t>Title of the Class</w:t>
            </w:r>
          </w:p>
        </w:tc>
        <w:tc>
          <w:tcPr>
            <w:tcW w:w="1096" w:type="dxa"/>
            <w:tcBorders/>
            <w:vAlign w:val="center"/>
          </w:tcPr>
          <w:p>
            <w:pPr>
              <w:pStyle w:val="TableHeading"/>
              <w:suppressLineNumbers/>
              <w:bidi w:val="0"/>
              <w:spacing w:before="0" w:after="283"/>
              <w:jc w:val="center"/>
              <w:rPr/>
            </w:pPr>
            <w:r>
              <w:rPr/>
              <w:t>Date you Acquired</w:t>
            </w:r>
          </w:p>
        </w:tc>
        <w:tc>
          <w:tcPr>
            <w:tcW w:w="1986" w:type="dxa"/>
            <w:tcBorders/>
            <w:vAlign w:val="center"/>
          </w:tcPr>
          <w:p>
            <w:pPr>
              <w:pStyle w:val="TableHeading"/>
              <w:suppressLineNumbers/>
              <w:bidi w:val="0"/>
              <w:spacing w:before="0" w:after="283"/>
              <w:jc w:val="center"/>
              <w:rPr/>
            </w:pPr>
            <w:r>
              <w:rPr/>
              <w:t>Nature of Acquisition Transaction</w:t>
            </w:r>
          </w:p>
        </w:tc>
        <w:tc>
          <w:tcPr>
            <w:tcW w:w="1133"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6" w:type="dxa"/>
            <w:tcBorders/>
            <w:vAlign w:val="center"/>
          </w:tcPr>
          <w:p>
            <w:pPr>
              <w:pStyle w:val="TableHeading"/>
              <w:suppressLineNumbers/>
              <w:bidi w:val="0"/>
              <w:spacing w:before="0" w:after="283"/>
              <w:jc w:val="center"/>
              <w:rPr/>
            </w:pPr>
            <w:r>
              <w:rPr/>
              <w:t>Date Donor Acquired</w:t>
            </w:r>
          </w:p>
        </w:tc>
        <w:tc>
          <w:tcPr>
            <w:tcW w:w="1136" w:type="dxa"/>
            <w:tcBorders/>
            <w:vAlign w:val="center"/>
          </w:tcPr>
          <w:p>
            <w:pPr>
              <w:pStyle w:val="TableHeading"/>
              <w:suppressLineNumbers/>
              <w:bidi w:val="0"/>
              <w:spacing w:before="0" w:after="283"/>
              <w:jc w:val="center"/>
              <w:rPr/>
            </w:pPr>
            <w:r>
              <w:rPr/>
              <w:t>Amount of Securities Acquired</w:t>
            </w:r>
          </w:p>
        </w:tc>
        <w:tc>
          <w:tcPr>
            <w:tcW w:w="1037" w:type="dxa"/>
            <w:tcBorders/>
            <w:vAlign w:val="center"/>
          </w:tcPr>
          <w:p>
            <w:pPr>
              <w:pStyle w:val="TableHeading"/>
              <w:suppressLineNumbers/>
              <w:bidi w:val="0"/>
              <w:spacing w:before="0" w:after="283"/>
              <w:jc w:val="center"/>
              <w:rPr/>
            </w:pPr>
            <w:r>
              <w:rPr/>
              <w:t>Date of Payment</w:t>
            </w:r>
          </w:p>
        </w:tc>
        <w:tc>
          <w:tcPr>
            <w:tcW w:w="11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Common</w:t>
            </w:r>
          </w:p>
        </w:tc>
        <w:tc>
          <w:tcPr>
            <w:tcW w:w="1096" w:type="dxa"/>
            <w:tcBorders/>
            <w:vAlign w:val="center"/>
          </w:tcPr>
          <w:p>
            <w:pPr>
              <w:pStyle w:val="TableContents"/>
              <w:bidi w:val="0"/>
              <w:spacing w:before="0" w:after="283"/>
              <w:jc w:val="left"/>
              <w:rPr/>
            </w:pPr>
            <w:r>
              <w:rPr/>
              <w:t>09/10/2026</w:t>
            </w:r>
          </w:p>
        </w:tc>
        <w:tc>
          <w:tcPr>
            <w:tcW w:w="1986" w:type="dxa"/>
            <w:tcBorders/>
            <w:vAlign w:val="center"/>
          </w:tcPr>
          <w:p>
            <w:pPr>
              <w:pStyle w:val="TableContents"/>
              <w:bidi w:val="0"/>
              <w:spacing w:before="0" w:after="283"/>
              <w:jc w:val="left"/>
              <w:rPr/>
            </w:pPr>
            <w:r>
              <w:rPr/>
              <w:t>Vesting of Performance-based Restricted Stock Units</w:t>
            </w:r>
          </w:p>
        </w:tc>
        <w:tc>
          <w:tcPr>
            <w:tcW w:w="1133"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pPr>
            <w:r>
              <w:rPr/>
              <w:t>60039</w:t>
            </w:r>
          </w:p>
        </w:tc>
        <w:tc>
          <w:tcPr>
            <w:tcW w:w="1037" w:type="dxa"/>
            <w:tcBorders/>
            <w:vAlign w:val="center"/>
          </w:tcPr>
          <w:p>
            <w:pPr>
              <w:pStyle w:val="TableContents"/>
              <w:bidi w:val="0"/>
              <w:spacing w:before="0" w:after="283"/>
              <w:jc w:val="left"/>
              <w:rPr/>
            </w:pPr>
            <w:r>
              <w:rPr/>
              <w:t>09/10/2026</w:t>
            </w:r>
          </w:p>
        </w:tc>
        <w:tc>
          <w:tcPr>
            <w:tcW w:w="11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82"/>
        <w:gridCol w:w="8823"/>
      </w:tblGrid>
      <w:tr>
        <w:trPr/>
        <w:tc>
          <w:tcPr>
            <w:tcW w:w="1382" w:type="dxa"/>
            <w:tcBorders/>
            <w:vAlign w:val="center"/>
          </w:tcPr>
          <w:p>
            <w:pPr>
              <w:pStyle w:val="TableContents"/>
              <w:bidi w:val="0"/>
              <w:spacing w:before="0" w:after="283"/>
              <w:jc w:val="left"/>
              <w:rPr/>
            </w:pPr>
            <w:r>
              <w:rPr/>
              <w:t>Remarks</w:t>
            </w:r>
          </w:p>
        </w:tc>
        <w:tc>
          <w:tcPr>
            <w:tcW w:w="8823" w:type="dxa"/>
            <w:tcBorders/>
            <w:vAlign w:val="center"/>
          </w:tcPr>
          <w:p>
            <w:pPr>
              <w:pStyle w:val="TableContents"/>
              <w:bidi w:val="0"/>
              <w:spacing w:before="0" w:after="0"/>
              <w:jc w:val="left"/>
              <w:rPr/>
            </w:pPr>
            <w:r>
              <w:rPr/>
              <w:t>This sale represents shares required to be sold by the Reporting Person to cover tax withholding obligations in connection with the vesting of performance stock units. Such sales were automatic and not at the discretion of the Reporting Person.</w:t>
            </w:r>
          </w:p>
        </w:tc>
      </w:tr>
      <w:tr>
        <w:trPr/>
        <w:tc>
          <w:tcPr>
            <w:tcW w:w="1382" w:type="dxa"/>
            <w:tcBorders/>
            <w:vAlign w:val="center"/>
          </w:tcPr>
          <w:p>
            <w:pPr>
              <w:pStyle w:val="TableContents"/>
              <w:bidi w:val="0"/>
              <w:spacing w:before="0" w:after="283"/>
              <w:jc w:val="left"/>
              <w:rPr/>
            </w:pPr>
            <w:r>
              <w:rPr/>
              <w:t>Date of Notice</w:t>
            </w:r>
          </w:p>
        </w:tc>
        <w:tc>
          <w:tcPr>
            <w:tcW w:w="8823"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2" w:type="dxa"/>
            <w:tcBorders/>
            <w:vAlign w:val="center"/>
          </w:tcPr>
          <w:p>
            <w:pPr>
              <w:pStyle w:val="TableContents"/>
              <w:bidi w:val="0"/>
              <w:spacing w:before="0" w:after="283"/>
              <w:jc w:val="left"/>
              <w:rPr/>
            </w:pPr>
            <w:r>
              <w:rPr/>
              <w:t>Signature</w:t>
            </w:r>
          </w:p>
        </w:tc>
        <w:tc>
          <w:tcPr>
            <w:tcW w:w="8823" w:type="dxa"/>
            <w:tcBorders/>
            <w:vAlign w:val="center"/>
          </w:tcPr>
          <w:p>
            <w:pPr>
              <w:pStyle w:val="TableContents"/>
              <w:bidi w:val="0"/>
              <w:spacing w:before="0" w:after="0"/>
              <w:jc w:val="left"/>
              <w:rPr/>
            </w:pPr>
            <w:r>
              <w:rPr/>
              <w:t>/s/ Joshua B. Cohen, as Attorney in 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3170</Characters>
  <CharactersWithSpaces>3740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