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00" w:right="1600" w:hanging="257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Amylyx Pharmaceuticals, Inc.</w:t>
      </w:r>
    </w:p>
    <w:p>
      <w:pPr>
        <w:sectPr>
          <w:pgSz w:w="11900" w:h="16838" w:orient="portrait"/>
          <w:cols w:equalWidth="0" w:num="1">
            <w:col w:w="11240"/>
          </w:cols>
          <w:pgMar w:left="320" w:top="1240"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46-4600503</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620" w:space="320"/>
            <w:col w:w="3300"/>
          </w:cols>
          <w:pgMar w:left="320" w:top="1240"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b w:val="1"/>
          <w:bCs w:val="1"/>
          <w:color w:val="auto"/>
        </w:rPr>
        <w:t>55 Cambridge Parkway, Suite 6W</w:t>
      </w:r>
    </w:p>
    <w:p>
      <w:pPr>
        <w:spacing w:after="0" w:line="31" w:lineRule="exact"/>
        <w:rPr>
          <w:sz w:val="24"/>
          <w:szCs w:val="24"/>
          <w:color w:val="auto"/>
        </w:rPr>
      </w:pPr>
    </w:p>
    <w:p>
      <w:pPr>
        <w:ind w:left="17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Cambridge, Massachusetts</w:t>
      </w:r>
      <w:r>
        <w:rPr>
          <w:sz w:val="20"/>
          <w:szCs w:val="20"/>
          <w:color w:val="auto"/>
        </w:rPr>
        <w:tab/>
      </w:r>
      <w:r>
        <w:rPr>
          <w:rFonts w:ascii="Times New Roman" w:cs="Times New Roman" w:eastAsia="Times New Roman" w:hAnsi="Times New Roman"/>
          <w:sz w:val="18"/>
          <w:szCs w:val="18"/>
          <w:b w:val="1"/>
          <w:bCs w:val="1"/>
          <w:color w:val="auto"/>
        </w:rPr>
        <w:t>02142</w:t>
      </w:r>
    </w:p>
    <w:p>
      <w:pPr>
        <w:spacing w:after="0" w:line="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682-0917</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AMLX</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Stock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636"/>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60" w:firstLine="63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0" w:firstLine="63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4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40" w:firstLine="63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40" w:right="19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27, 2026, the registrant had 111,186,317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tc>
        <w:tc>
          <w:tcPr>
            <w:tcW w:w="7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0" w:type="dxa"/>
            <w:vAlign w:val="bottom"/>
            <w:gridSpan w:val="7"/>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78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20" w:type="dxa"/>
            <w:vAlign w:val="bottom"/>
            <w:gridSpan w:val="10"/>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780" w:type="dxa"/>
            <w:vAlign w:val="bottom"/>
          </w:tcPr>
          <w:p>
            <w:pPr>
              <w:spacing w:after="0"/>
              <w:rPr>
                <w:sz w:val="20"/>
                <w:szCs w:val="20"/>
                <w:color w:val="auto"/>
              </w:rPr>
            </w:pPr>
          </w:p>
        </w:tc>
      </w:tr>
      <w:tr>
        <w:trPr>
          <w:trHeight w:val="459"/>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4"/>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4"/>
                <w:szCs w:val="24"/>
                <w:color w:val="auto"/>
              </w:rPr>
            </w:pPr>
          </w:p>
        </w:tc>
      </w:tr>
      <w:tr>
        <w:trPr>
          <w:trHeight w:val="391"/>
        </w:trPr>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7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we may use our website or our LinkedIn profile at www.linkedin.com/company/amylyx to distribute material information. Our financial and other material information is routinely posted to and accessible on the Investors section of our website, available at www.amylyx.com.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81" w:lineRule="exact"/>
        <w:rPr>
          <w:sz w:val="20"/>
          <w:szCs w:val="20"/>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of avexitide in post-bariatric hypoglycemia, or PBH, or any other indications, or AMX0035 in Wolfram syndrome, or any other indications, or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research and development activities, preclinical studies and clinical trials, including the Phase 3 clinical program for avexitide in PBH, known as the LUCIDITY trial, our Phase 1 clinical trial of AMX0114 for the treatment of amyotrophic lateral sclerosis, or ALS, known as the LUMINA trial, our preclinical research for AMX0318 in PBH and other rare diseases, as well as any other development efforts, preclinical studies and clinical trials for our current and any future product candidates;</w:t>
      </w:r>
    </w:p>
    <w:p>
      <w:pPr>
        <w:spacing w:after="0" w:line="71"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market our product candidates, if approved, and the timing of any commercialization and marketing efforts;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manufacturers and other service providers and their ability to perform adequately and to produce sufficient quantities of clinical and, if needed, commercial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size, opportunity, demand and growth potential for our current and any future product candidates, if approved;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our own sales and marketing capabilities, or seek collaborative partners, to commercialize our current and any future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executives and to identify, hire and retain additional qualified professionals;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ongoing or planned clinical trials of avexitide, AMX0035 and AMX0114, successfully complete our ongoing or planned investigational new drug, or IND, enabling studies of AMX0318, and to advance any other current or future product candidates into, and successfully complete,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enroll suitable patients in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the accomplishment of various scientific, clinical, regulatory filings and approvals and other product development objectives;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avexitide, AMX0035, AMX0114, AMX0318 and any other current or future product candidates, if approved, by physicians, patients, third-party payors and others in the medical community;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evaluate, in-license and develop additional products or product candidates to complement our existing pipeline and our ability to successfully incorporate acquired assets into our existing pipeline;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any regulatory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potential future revenue, capital requirements, cash runway and future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our quarterly and annual operating results and the related effects on our stock price;</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macroeconomic conditions or market volatility resulting from global economic conditions or geopolitical developments, including fluctuating interest rates, inflation, changes in governmental agencies, government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right="180"/>
        <w:spacing w:after="0" w:line="282" w:lineRule="auto"/>
        <w:rPr>
          <w:sz w:val="20"/>
          <w:szCs w:val="20"/>
          <w:color w:val="auto"/>
        </w:rPr>
      </w:pPr>
      <w:r>
        <w:rPr>
          <w:rFonts w:ascii="Times New Roman" w:cs="Times New Roman" w:eastAsia="Times New Roman" w:hAnsi="Times New Roman"/>
          <w:sz w:val="18"/>
          <w:szCs w:val="18"/>
          <w:color w:val="auto"/>
        </w:rPr>
        <w:t>shutdowns, international tariffs, trade protection measures, economic sanctions and potential economic slowdowns or recessions, or similar events, on our business; and</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about future events, including those listed under the section titled “Risk Factors.”</w:t>
      </w:r>
    </w:p>
    <w:p>
      <w:pPr>
        <w:spacing w:after="0" w:line="22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the section titled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Solely for convenience, our trademarks and trade names in this report are referred to without the ® and ™ symbols, but such references should not be construed as any indicator that we will not assert, to the fullest extent under applicable law, our rights thereto.</w:t>
      </w:r>
    </w:p>
    <w:p>
      <w:pPr>
        <w:spacing w:after="0" w:line="162"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Unless otherwise indicated, the terms “Amylyx,” “the Company,” “we,” “us,” and “our” refer to Amylyx Pharmaceuticals, Inc. and its consolidated subsidiaries, unless the context otherwise requires.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229,136</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226,651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90,328</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323,671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293,603</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332,645</w:t>
            </w:r>
          </w:p>
        </w:tc>
        <w:tc>
          <w:tcPr>
            <w:tcW w:w="100" w:type="dxa"/>
            <w:vAlign w:val="bottom"/>
            <w:shd w:val="clear" w:color="auto" w:fill="CFF0FC"/>
          </w:tcPr>
          <w:p>
            <w:pPr>
              <w:spacing w:after="0"/>
              <w:rPr>
                <w:sz w:val="20"/>
                <w:szCs w:val="20"/>
                <w:color w:val="auto"/>
              </w:rPr>
            </w:pPr>
          </w:p>
        </w:tc>
      </w:tr>
      <w:tr>
        <w:trPr>
          <w:trHeight w:val="18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17,910</w:t>
            </w: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22,688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0 and 0 shares issued and outstanding as of</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111,026,477 and 109,884,502 shares issued</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outstanding as of March 31, 2026 and December 31, 2025, respectively</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1,056,271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(792,711)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(751,427)</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273,161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293,603</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332,645</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-3325495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-2536825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80" w:type="dxa"/>
            <w:vAlign w:val="bottom"/>
            <w:tcBorders>
              <w:bottom w:val="single" w:sz="8" w:color="auto"/>
            </w:tcBorders>
          </w:tcPr>
          <w:p>
            <w:pPr>
              <w:spacing w:after="0"/>
              <w:rPr>
                <w:sz w:val="18"/>
                <w:szCs w:val="18"/>
                <w:color w:val="auto"/>
              </w:rPr>
            </w:pPr>
          </w:p>
        </w:tc>
      </w:tr>
      <w:tr>
        <w:trPr>
          <w:trHeight w:val="199"/>
        </w:trPr>
        <w:tc>
          <w:tcPr>
            <w:tcW w:w="69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Pr>
          <w:p>
            <w:pPr>
              <w:spacing w:after="0"/>
              <w:rPr>
                <w:sz w:val="17"/>
                <w:szCs w:val="17"/>
                <w:color w:val="auto"/>
              </w:rPr>
            </w:pPr>
          </w:p>
        </w:tc>
      </w:tr>
      <w:tr>
        <w:trPr>
          <w:trHeight w:val="19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r>
      <w:tr>
        <w:trPr>
          <w:trHeight w:val="20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27,610</w:t>
            </w:r>
          </w:p>
        </w:tc>
        <w:tc>
          <w:tcPr>
            <w:tcW w:w="1380" w:type="dxa"/>
            <w:vAlign w:val="bottom"/>
            <w:gridSpan w:val="2"/>
          </w:tcPr>
          <w:p>
            <w:pPr>
              <w:jc w:val="right"/>
              <w:ind w:right="10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22,119</w:t>
            </w:r>
          </w:p>
        </w:tc>
      </w:tr>
      <w:tr>
        <w:trPr>
          <w:trHeight w:val="203"/>
        </w:trPr>
        <w:tc>
          <w:tcPr>
            <w:tcW w:w="6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16,169</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15,684</w:t>
            </w:r>
          </w:p>
        </w:tc>
      </w:tr>
      <w:tr>
        <w:trPr>
          <w:trHeight w:val="196"/>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43,779</w:t>
            </w:r>
          </w:p>
        </w:tc>
        <w:tc>
          <w:tcPr>
            <w:tcW w:w="2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37,803</w:t>
            </w:r>
          </w:p>
        </w:tc>
      </w:tr>
      <w:tr>
        <w:trPr>
          <w:trHeight w:val="19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(37,803)</w:t>
            </w: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2,570</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2,231</w:t>
            </w:r>
          </w:p>
        </w:tc>
      </w:tr>
      <w:tr>
        <w:trPr>
          <w:trHeight w:val="203"/>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196"/>
        </w:trPr>
        <w:tc>
          <w:tcPr>
            <w:tcW w:w="6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other income, net</w:t>
            </w:r>
          </w:p>
        </w:tc>
        <w:tc>
          <w:tcPr>
            <w:tcW w:w="11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2,495</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1,896</w:t>
            </w:r>
          </w:p>
        </w:tc>
      </w:t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(41,284)</w:t>
            </w:r>
          </w:p>
        </w:tc>
        <w:tc>
          <w:tcPr>
            <w:tcW w:w="1380" w:type="dxa"/>
            <w:vAlign w:val="bottom"/>
            <w:gridSpan w:val="2"/>
          </w:tcPr>
          <w:p>
            <w:pPr>
              <w:jc w:val="right"/>
              <w:ind w:right="10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(35,907)</w:t>
            </w:r>
          </w:p>
        </w:tc>
      </w:tr>
      <w:tr>
        <w:trPr>
          <w:trHeight w:val="20"/>
        </w:trPr>
        <w:tc>
          <w:tcPr>
            <w:tcW w:w="6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9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380" w:type="dxa"/>
            <w:vAlign w:val="bottom"/>
            <w:gridSpan w:val="2"/>
          </w:tcPr>
          <w:p>
            <w:pPr>
              <w:jc w:val="right"/>
              <w:ind w:right="10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0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 basic and diluted</w:t>
            </w:r>
          </w:p>
        </w:tc>
        <w:tc>
          <w:tcPr>
            <w:tcW w:w="1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7"/>
              </w:rPr>
              <w:t>110,563,360</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85,697,108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-1344930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-548005</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94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460" w:type="dxa"/>
            <w:vAlign w:val="bottom"/>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44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(41,284)</w:t>
            </w:r>
          </w:p>
        </w:tc>
        <w:tc>
          <w:tcPr>
            <w:tcW w:w="1580" w:type="dxa"/>
            <w:vAlign w:val="bottom"/>
            <w:gridSpan w:val="2"/>
            <w:shd w:val="clear" w:color="auto" w:fill="CFF0FC"/>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(35,907)</w:t>
            </w: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(loss) gain</w:t>
            </w:r>
          </w:p>
        </w:tc>
        <w:tc>
          <w:tcPr>
            <w:tcW w:w="14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FF0FC"/>
          </w:tcPr>
          <w:p>
            <w:pPr>
              <w:spacing w:after="0"/>
              <w:rPr>
                <w:sz w:val="17"/>
                <w:szCs w:val="17"/>
                <w:color w:val="auto"/>
              </w:rPr>
            </w:pPr>
          </w:p>
        </w:tc>
      </w:tr>
      <w:tr>
        <w:trPr>
          <w:trHeight w:val="203"/>
        </w:trPr>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unrealized loss on available-for-sale securities</w:t>
            </w:r>
          </w:p>
        </w:tc>
        <w:tc>
          <w:tcPr>
            <w:tcW w:w="14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64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4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FF0FC"/>
          </w:tcPr>
          <w:p>
            <w:pPr>
              <w:spacing w:after="0"/>
              <w:rPr>
                <w:sz w:val="17"/>
                <w:szCs w:val="17"/>
                <w:color w:val="auto"/>
              </w:rPr>
            </w:pPr>
          </w:p>
        </w:tc>
      </w:tr>
      <w:tr>
        <w:trPr>
          <w:trHeight w:val="20"/>
        </w:trPr>
        <w:tc>
          <w:tcPr>
            <w:tcW w:w="646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44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(41,448)</w:t>
            </w:r>
          </w:p>
        </w:tc>
        <w:tc>
          <w:tcPr>
            <w:tcW w:w="1580" w:type="dxa"/>
            <w:vAlign w:val="bottom"/>
            <w:gridSpan w:val="2"/>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(35,815)</w:t>
            </w:r>
          </w:p>
        </w:tc>
      </w:tr>
      <w:tr>
        <w:trPr>
          <w:trHeight w:val="20"/>
        </w:trPr>
        <w:tc>
          <w:tcPr>
            <w:tcW w:w="64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-162560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2600" w:type="dxa"/>
            <w:vAlign w:val="bottom"/>
            <w:gridSpan w:val="3"/>
            <w:vMerge w:val="restart"/>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260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86"/>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1340" w:type="dxa"/>
            <w:vAlign w:val="bottom"/>
            <w:tcBorders>
              <w:bottom w:val="single" w:sz="8" w:color="auto"/>
            </w:tcBorders>
          </w:tcPr>
          <w:p>
            <w:pPr>
              <w:jc w:val="right"/>
              <w:ind w:right="4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102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13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109,884,502</w:t>
            </w:r>
          </w:p>
        </w:tc>
        <w:tc>
          <w:tcPr>
            <w:tcW w:w="1260" w:type="dxa"/>
            <w:vAlign w:val="bottom"/>
            <w:gridSpan w:val="2"/>
            <w:shd w:val="clear" w:color="auto" w:fill="CFF0FC"/>
          </w:tcPr>
          <w:p>
            <w:pPr>
              <w:jc w:val="right"/>
              <w:ind w:right="9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w:t>
            </w:r>
          </w:p>
        </w:tc>
        <w:tc>
          <w:tcPr>
            <w:tcW w:w="44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1,056,271</w:t>
            </w:r>
          </w:p>
        </w:tc>
        <w:tc>
          <w:tcPr>
            <w:tcW w:w="3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404</w:t>
            </w:r>
          </w:p>
        </w:tc>
        <w:tc>
          <w:tcPr>
            <w:tcW w:w="120" w:type="dxa"/>
            <w:vAlign w:val="bottom"/>
            <w:shd w:val="clear" w:color="auto" w:fill="CFF0FC"/>
          </w:tcPr>
          <w:p>
            <w:pPr>
              <w:spacing w:after="0"/>
              <w:rPr>
                <w:sz w:val="10"/>
                <w:szCs w:val="10"/>
                <w:color w:val="auto"/>
              </w:rPr>
            </w:pPr>
          </w:p>
        </w:tc>
        <w:tc>
          <w:tcPr>
            <w:tcW w:w="28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(751,427)</w:t>
            </w:r>
          </w:p>
        </w:tc>
        <w:tc>
          <w:tcPr>
            <w:tcW w:w="18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305,259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 financing, net</w:t>
            </w: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of issuance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 exercise of</w:t>
            </w:r>
          </w:p>
        </w:tc>
        <w:tc>
          <w:tcPr>
            <w:tcW w:w="13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465,661</w:t>
            </w: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3,230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 vesting of</w:t>
            </w: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RSUs</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676,314</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6,120</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1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2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(164)</w:t>
            </w:r>
          </w:p>
        </w:tc>
        <w:tc>
          <w:tcPr>
            <w:tcW w:w="0" w:type="dxa"/>
            <w:vAlign w:val="bottom"/>
          </w:tcPr>
          <w:p>
            <w:pPr>
              <w:spacing w:after="0"/>
              <w:rPr>
                <w:sz w:val="1"/>
                <w:szCs w:val="1"/>
                <w:color w:val="auto"/>
              </w:rPr>
            </w:pPr>
          </w:p>
        </w:tc>
      </w:tr>
      <w:tr>
        <w:trPr>
          <w:trHeight w:val="121"/>
        </w:trPr>
        <w:tc>
          <w:tcPr>
            <w:tcW w:w="2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(41,284)</w:t>
            </w:r>
          </w:p>
        </w:tc>
        <w:tc>
          <w:tcPr>
            <w:tcW w:w="18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(41,284)</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13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111,026,477</w:t>
            </w:r>
          </w:p>
        </w:tc>
        <w:tc>
          <w:tcPr>
            <w:tcW w:w="240" w:type="dxa"/>
            <w:vAlign w:val="bottom"/>
          </w:tcPr>
          <w:p>
            <w:pPr>
              <w:spacing w:after="0"/>
              <w:rPr>
                <w:sz w:val="10"/>
                <w:szCs w:val="10"/>
                <w:color w:val="auto"/>
              </w:rPr>
            </w:pPr>
          </w:p>
        </w:tc>
        <w:tc>
          <w:tcPr>
            <w:tcW w:w="1020" w:type="dxa"/>
            <w:vAlign w:val="bottom"/>
          </w:tcPr>
          <w:p>
            <w:pPr>
              <w:jc w:val="right"/>
              <w:ind w:right="9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0"/>
                <w:szCs w:val="10"/>
                <w:color w:val="auto"/>
              </w:rPr>
            </w:pPr>
          </w:p>
        </w:tc>
        <w:tc>
          <w:tcPr>
            <w:tcW w:w="2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1,065,621</w:t>
            </w:r>
          </w:p>
        </w:tc>
        <w:tc>
          <w:tcPr>
            <w:tcW w:w="38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240</w:t>
            </w:r>
          </w:p>
        </w:tc>
        <w:tc>
          <w:tcPr>
            <w:tcW w:w="120" w:type="dxa"/>
            <w:vAlign w:val="bottom"/>
          </w:tcPr>
          <w:p>
            <w:pPr>
              <w:spacing w:after="0"/>
              <w:rPr>
                <w:sz w:val="10"/>
                <w:szCs w:val="10"/>
                <w:color w:val="auto"/>
              </w:rPr>
            </w:pPr>
          </w:p>
        </w:tc>
        <w:tc>
          <w:tcPr>
            <w:tcW w:w="28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(792,711)</w:t>
            </w:r>
          </w:p>
        </w:tc>
        <w:tc>
          <w:tcPr>
            <w:tcW w:w="1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273,161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2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2600" w:type="dxa"/>
            <w:vAlign w:val="bottom"/>
            <w:gridSpan w:val="3"/>
            <w:vMerge w:val="restart"/>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260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right="186"/>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1340" w:type="dxa"/>
            <w:vAlign w:val="bottom"/>
            <w:tcBorders>
              <w:bottom w:val="single" w:sz="8" w:color="auto"/>
            </w:tcBorders>
          </w:tcPr>
          <w:p>
            <w:pPr>
              <w:jc w:val="right"/>
              <w:ind w:right="4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102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13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68,629,738</w:t>
            </w:r>
          </w:p>
        </w:tc>
        <w:tc>
          <w:tcPr>
            <w:tcW w:w="1260" w:type="dxa"/>
            <w:vAlign w:val="bottom"/>
            <w:gridSpan w:val="2"/>
            <w:shd w:val="clear" w:color="auto" w:fill="CFF0FC"/>
          </w:tcPr>
          <w:p>
            <w:pPr>
              <w:jc w:val="right"/>
              <w:ind w:right="9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44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771,542</w:t>
            </w:r>
          </w:p>
        </w:tc>
        <w:tc>
          <w:tcPr>
            <w:tcW w:w="3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(92)</w:t>
            </w:r>
          </w:p>
        </w:tc>
        <w:tc>
          <w:tcPr>
            <w:tcW w:w="28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(606,692)</w:t>
            </w:r>
          </w:p>
        </w:tc>
        <w:tc>
          <w:tcPr>
            <w:tcW w:w="18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164,765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 financing, net</w:t>
            </w: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of issuance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19,714,285</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 exercise of</w:t>
            </w:r>
          </w:p>
        </w:tc>
        <w:tc>
          <w:tcPr>
            <w:tcW w:w="13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36,310</w:t>
            </w: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 vesting of</w:t>
            </w: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RSUs</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700,488</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6,833</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6,833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3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(35,907)</w:t>
            </w:r>
          </w:p>
        </w:tc>
        <w:tc>
          <w:tcPr>
            <w:tcW w:w="18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(35,907)</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13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89,080,821</w:t>
            </w:r>
          </w:p>
        </w:tc>
        <w:tc>
          <w:tcPr>
            <w:tcW w:w="240" w:type="dxa"/>
            <w:vAlign w:val="bottom"/>
          </w:tcPr>
          <w:p>
            <w:pPr>
              <w:spacing w:after="0"/>
              <w:rPr>
                <w:sz w:val="10"/>
                <w:szCs w:val="10"/>
                <w:color w:val="auto"/>
              </w:rPr>
            </w:pPr>
          </w:p>
        </w:tc>
        <w:tc>
          <w:tcPr>
            <w:tcW w:w="1020" w:type="dxa"/>
            <w:vAlign w:val="bottom"/>
          </w:tcPr>
          <w:p>
            <w:pPr>
              <w:jc w:val="right"/>
              <w:ind w:right="9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0"/>
                <w:szCs w:val="10"/>
                <w:color w:val="auto"/>
              </w:rPr>
            </w:pPr>
          </w:p>
        </w:tc>
        <w:tc>
          <w:tcPr>
            <w:tcW w:w="2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844,007</w:t>
            </w:r>
          </w:p>
        </w:tc>
        <w:tc>
          <w:tcPr>
            <w:tcW w:w="38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(642,599)</w:t>
            </w:r>
          </w:p>
        </w:tc>
        <w:tc>
          <w:tcPr>
            <w:tcW w:w="1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201,417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-1696720</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-1696720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-1696720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-1696720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-1696720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-111125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-111125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-111125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-111125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-111125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6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96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(41,284)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(35,907)</w:t>
            </w:r>
          </w:p>
        </w:tc>
      </w:tr>
      <w:tr>
        <w:trPr>
          <w:trHeight w:val="202"/>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investment discounts, net</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(1,703)</w:t>
            </w:r>
          </w:p>
        </w:tc>
      </w:tr>
      <w:tr>
        <w:trPr>
          <w:trHeight w:val="203"/>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Charge for In-Process Research and Development ("IPR&amp;D") milestones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items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(11,882)</w:t>
            </w:r>
          </w:p>
        </w:tc>
      </w:tr>
      <w:tr>
        <w:trPr>
          <w:trHeight w:val="203"/>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(599)</w:t>
            </w:r>
          </w:p>
        </w:tc>
      </w:tr>
      <w:tr>
        <w:trPr>
          <w:trHeight w:val="20"/>
        </w:trPr>
        <w:tc>
          <w:tcPr>
            <w:tcW w:w="67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(36,882)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(39,824)</w:t>
            </w: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provided by (used in) investing activities:</w:t>
            </w:r>
          </w:p>
        </w:tc>
        <w:tc>
          <w:tcPr>
            <w:tcW w:w="9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Milestone payments related to IPR&amp;D</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(103,648)</w:t>
            </w:r>
          </w:p>
        </w:tc>
      </w:tr>
      <w:tr>
        <w:trPr>
          <w:trHeight w:val="202"/>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9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(43,659)</w:t>
            </w: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9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financings, net of issuance costs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65,577</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stock options and RSUs vesting</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paid on stock-based awards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(885)</w:t>
            </w:r>
          </w:p>
        </w:tc>
      </w:tr>
      <w:tr>
        <w:trPr>
          <w:trHeight w:val="196"/>
        </w:trPr>
        <w:tc>
          <w:tcPr>
            <w:tcW w:w="6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equivalents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 equivalents</w:t>
            </w:r>
          </w:p>
        </w:tc>
        <w:tc>
          <w:tcPr>
            <w:tcW w:w="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(17,624)</w:t>
            </w: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78,837</w:t>
            </w:r>
          </w:p>
        </w:tc>
        <w:tc>
          <w:tcPr>
            <w:tcW w:w="100" w:type="dxa"/>
            <w:vAlign w:val="bottom"/>
          </w:tcPr>
          <w:p>
            <w:pPr>
              <w:spacing w:after="0"/>
              <w:rPr>
                <w:sz w:val="17"/>
                <w:szCs w:val="17"/>
                <w:color w:val="auto"/>
              </w:rPr>
            </w:pPr>
          </w:p>
        </w:tc>
      </w:tr>
      <w:tr>
        <w:trPr>
          <w:trHeight w:val="23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196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230,122</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61,213</w:t>
            </w:r>
          </w:p>
        </w:tc>
        <w:tc>
          <w:tcPr>
            <w:tcW w:w="100" w:type="dxa"/>
            <w:vAlign w:val="bottom"/>
            <w:shd w:val="clear" w:color="auto" w:fill="CFF0FC"/>
          </w:tcPr>
          <w:p>
            <w:pPr>
              <w:spacing w:after="0"/>
              <w:rPr>
                <w:sz w:val="20"/>
                <w:szCs w:val="20"/>
                <w:color w:val="auto"/>
              </w:rPr>
            </w:pPr>
          </w:p>
        </w:tc>
      </w:tr>
      <w:tr>
        <w:trPr>
          <w:trHeight w:val="183"/>
        </w:trPr>
        <w:tc>
          <w:tcPr>
            <w:tcW w:w="6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equivalents:</w:t>
            </w:r>
          </w:p>
        </w:tc>
        <w:tc>
          <w:tcPr>
            <w:tcW w:w="98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6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229,136</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59,764</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7"/>
                <w:szCs w:val="17"/>
                <w:color w:val="auto"/>
              </w:rPr>
            </w:pPr>
          </w:p>
        </w:tc>
      </w:tr>
      <w:tr>
        <w:trPr>
          <w:trHeight w:val="216"/>
        </w:trPr>
        <w:tc>
          <w:tcPr>
            <w:tcW w:w="6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cash, cash equivalents and restricted cash equivalents:</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230,122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61,213</w:t>
            </w:r>
          </w:p>
        </w:tc>
        <w:tc>
          <w:tcPr>
            <w:tcW w:w="100" w:type="dxa"/>
            <w:vAlign w:val="bottom"/>
            <w:shd w:val="clear" w:color="auto" w:fill="CFF0FC"/>
          </w:tcPr>
          <w:p>
            <w:pPr>
              <w:spacing w:after="0"/>
              <w:rPr>
                <w:sz w:val="18"/>
                <w:szCs w:val="18"/>
                <w:color w:val="auto"/>
              </w:rPr>
            </w:pP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-2691130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-1902460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-573405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-556895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left="360" w:right="2620"/>
        <w:spacing w:after="0" w:line="278" w:lineRule="auto"/>
        <w:rPr>
          <w:sz w:val="20"/>
          <w:szCs w:val="20"/>
          <w:color w:val="auto"/>
        </w:rPr>
      </w:pPr>
      <w:r>
        <w:rPr>
          <w:rFonts w:ascii="Times New Roman" w:cs="Times New Roman" w:eastAsia="Times New Roman" w:hAnsi="Times New Roman"/>
          <w:sz w:val="18"/>
          <w:szCs w:val="18"/>
          <w:b w:val="1"/>
          <w:bCs w:val="1"/>
          <w:color w:val="auto"/>
        </w:rPr>
        <w:t>AMYLYX PHARMACEUTICALS, INC. NOTES TO CONDENSED CONSOLIDATED FINANCIAL STATEMENTS (UNAUDITED)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Amylyx Pharmaceuticals, Inc., together with its wholly-owned subsidiaries, known as Amylyx or the Company, is a clinical-stage pharmaceutical company with a mission to develop novel therapies for communities with high unmet medical needs. The Company has preclinical and clinical development programs underway in endocrine conditions and neurodegenerative diseases. The Company is currently developing four investigational therapies for potential impact across several diseases: avexitide in PBH, AMX0035 in Wolfram syndrome, AMX0114 in ALS, and AMX0318 in PBH and other rare diseases.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biotechnology industry, including, but not limited to, the outcome of preclinical studies and clinical trials, potential difficulties with or delays in timing with respect to regulatory approval processes, development by competitors of new technological innovations, dependence on key personnel, protection of proprietary technology, compliance with government regulations, ability to secure additional capital to fund operations, and risks associated with the economic challenges caused by economic uncertainty in various global markets caused by geopolitical instability and conflict. The Company and its contractors may experience disruptions in supply of items that are essential for its research and development activities, including, for example, raw materials and bulk drug substances that the Company imports from Europe and Canada used in the manufacturing of AMX0035 and any additional or future product candidates.</w:t>
      </w:r>
    </w:p>
    <w:p>
      <w:pPr>
        <w:spacing w:after="0" w:line="18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expects to continue to generate operating losses for the foreseeable future. The Company expects that its cash, cash equivalents and marketable securities will be sufficient to fund its operating expenses and capital expenditure requirements for at least 12 months from the issuance of these consolidated financial statements.</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 continue its development efforts, the Company may need to obtain substantial additional funding through public or private equity offerings, debt financings, collaborations, strategic alliances and/or licensing arrangements in order to fund its research and development and ongoing operating expenses. The Company may not be able to obtain financing on acceptable terms, when needed or at all, and the Company may not be able to enter into collaborations, strategic alliances or licensing arrangements. The terms of any financing may adversely affect the holdings or the rights of the Company’s stockholders. Any collaborations, strategic alliances or licensing arrangements may require the Company to relinquish rights to certain of its technologies, future revenue streams, research programs or product candidates or grant licenses on terms that may not be favorable to the Company. If the Company is unable to obtain funding, the Company could be forced to delay, limit, reduce or eliminate some or all of its research and development programs, pipeline expansion or future commercialization efforts or grant rights to develop and market product candidates, which could adversely affect its business prospects. Although management will continue to pursue these plans, there is no assurance that the Company will be successful in obtaining sufficient funding on terms acceptable to the Company to fund continuing operations when needed or at all.</w:t>
      </w:r>
    </w:p>
    <w:p>
      <w:pPr>
        <w:spacing w:after="0" w:line="298" w:lineRule="exact"/>
        <w:rPr>
          <w:sz w:val="20"/>
          <w:szCs w:val="20"/>
          <w:color w:val="auto"/>
        </w:rPr>
      </w:pPr>
    </w:p>
    <w:p>
      <w:pPr>
        <w:ind w:left="760" w:right="6340" w:hanging="752"/>
        <w:spacing w:after="0" w:line="503" w:lineRule="auto"/>
        <w:tabs>
          <w:tab w:leader="none" w:pos="19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Significant Accounting Policies</w:t>
      </w: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2025 and the notes thereto, which are included in the Company’s most recent Annual Report on Form 10-K. There have been no material changes to its significant accounting policies since the date of those consolidated financial statements.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the related interim disclosures are unaudited and have been prepared in conformity with accounting principles generally accepted in the U.S., or GAAP, and pursuant to the rules and regulations of the SEC for the interim financial information. These unaudited condensed consolidated financial statements include the accounts of the Company and its wholly owned subsidiaries. All intercompany balances and transactions have been eliminated in consolidation. Certain information and footnote disclosures normally included in financial statements prepared in accordance with GAAP have been condensed or omitted as permitted by the SEC’s rules and regulations for interim reporting. Interim period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ind w:right="380"/>
        <w:spacing w:after="0" w:line="266" w:lineRule="auto"/>
        <w:rPr>
          <w:sz w:val="20"/>
          <w:szCs w:val="20"/>
          <w:color w:val="auto"/>
        </w:rPr>
      </w:pPr>
      <w:r>
        <w:rPr>
          <w:rFonts w:ascii="Times New Roman" w:cs="Times New Roman" w:eastAsia="Times New Roman" w:hAnsi="Times New Roman"/>
          <w:sz w:val="18"/>
          <w:szCs w:val="18"/>
          <w:color w:val="auto"/>
        </w:rPr>
        <w:t>are not necessarily indicative of results of operations or cash flows for a full year or any subsequent interim period. The accompanying unaudited condensed consolidated financial statements should be read in conjunction with the audited consolidated financial statements and notes included in the Company’s Annual Report on Form 10-K for the year ended December 31, 2025.</w:t>
      </w:r>
    </w:p>
    <w:p>
      <w:pPr>
        <w:spacing w:after="0" w:line="17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all normal and recurring adjustments necessary for a fair presentation have been reflected. Any reference in these notes to applicable guidance is meant to refer to the authoritative GAAP as found in the ASC, and Accounting Standards Update, or ASU, of the Financial Accounting Standards Board, or FASB.</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the Company’s management to make estimates and assumptions that affect the reported amounts of assets and liabilities at the date of the financial statements and the reported amount of expenses during the reporting period. Actual results could differ from those estimates. Management considers many factors in selecting appropriate financial accounting policies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7"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 which requires new financial statement disclosures in tabular format, in the notes to financial statements</w:t>
      </w:r>
      <w:r>
        <w:rPr>
          <w:rFonts w:ascii="Times New Roman" w:cs="Times New Roman" w:eastAsia="Times New Roman" w:hAnsi="Times New Roman"/>
          <w:sz w:val="18"/>
          <w:szCs w:val="18"/>
          <w:color w:val="auto"/>
        </w:rPr>
        <w:t>, of specified information about certain costs and expenses. The amendments in this update do not change or remove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disclosure requirements. The amendments in this update are effective for the Company's annual financial statement disclosure beginning December 31, 2027, and interim periods within the years beginning January 1, 2028. Early adoption is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has classified all of its marketable securities at March 31, 2026 as “available-for-sale”. The Company records available-for-sale securities at fair value, with the unrealized gains and losses included as a separate component of other accumulated comprehensive loss. There were no realized gains or losses recognized during the three months ended March 31, 2026 and 2025.</w:t>
      </w:r>
    </w:p>
    <w:p>
      <w:pPr>
        <w:spacing w:after="0" w:line="6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Such amortization and accretion are included in interest income. The cost of securities sold is based on the specific identification method. The Company includes interest and dividends on securities classified as available-for-sale in interest income. Accrued interest receivable relating to the Company’s available-for-sale securities is presented within prepaid expenses and other current assets in the accompanying condensed consolidated balance sheets, and amounted to less than $0.1 million and $0.1 million at March 31, 2026 and December 31, 2025, respectively.</w:t>
      </w:r>
    </w:p>
    <w:p>
      <w:pPr>
        <w:spacing w:after="0" w:line="7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securities in an unrealized loss position for greater than 12 months. The Company does not intend to sell the investments and it is not more likely than not that the Company will be required to sell the investments before recovery of their amortized cost bases. The Company did not record an allowance for credit losses as of March 31, 2026.</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Marketable securities, which are classified as available-for-sale, consisted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Gain</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50,635</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500" w:type="dxa"/>
            <w:vAlign w:val="bottom"/>
            <w:gridSpan w:val="2"/>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50,635</w:t>
            </w:r>
          </w:p>
        </w:tc>
        <w:tc>
          <w:tcPr>
            <w:tcW w:w="260" w:type="dxa"/>
            <w:vAlign w:val="bottom"/>
            <w:vMerge w:val="continue"/>
          </w:tcPr>
          <w:p>
            <w:pPr>
              <w:spacing w:after="0"/>
              <w:rPr>
                <w:sz w:val="17"/>
                <w:szCs w:val="17"/>
                <w:color w:val="auto"/>
              </w:rPr>
            </w:pP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vMerge w:val="continue"/>
          </w:tcPr>
          <w:p>
            <w:pPr>
              <w:spacing w:after="0"/>
              <w:rPr>
                <w:sz w:val="17"/>
                <w:szCs w:val="17"/>
                <w:color w:val="auto"/>
              </w:rPr>
            </w:pP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Gain</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90,288</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500" w:type="dxa"/>
            <w:vAlign w:val="bottom"/>
            <w:gridSpan w:val="2"/>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16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90,288</w:t>
            </w:r>
          </w:p>
        </w:tc>
        <w:tc>
          <w:tcPr>
            <w:tcW w:w="260" w:type="dxa"/>
            <w:vAlign w:val="bottom"/>
          </w:tcPr>
          <w:p>
            <w:pPr>
              <w:spacing w:after="0"/>
              <w:rPr>
                <w:sz w:val="17"/>
                <w:szCs w:val="17"/>
                <w:color w:val="auto"/>
              </w:rPr>
            </w:pP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500" w:type="dxa"/>
            <w:vAlign w:val="bottom"/>
            <w:gridSpan w:val="2"/>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-161925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-161925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r>
      <w:tr>
        <w:trPr>
          <w:trHeight w:val="19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external research and development</w:t>
            </w:r>
          </w:p>
        </w:tc>
        <w:tc>
          <w:tcPr>
            <w:tcW w:w="2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12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12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consulting and other professional fees</w:t>
            </w:r>
          </w:p>
        </w:tc>
        <w:tc>
          <w:tcPr>
            <w:tcW w:w="2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2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7"/>
                <w:szCs w:val="17"/>
                <w:color w:val="auto"/>
              </w:rPr>
            </w:pPr>
          </w:p>
        </w:tc>
      </w:tr>
      <w:tr>
        <w:trPr>
          <w:trHeight w:val="216"/>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2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17,910</w:t>
            </w:r>
          </w:p>
        </w:tc>
        <w:tc>
          <w:tcPr>
            <w:tcW w:w="12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indicates the level of the fair value hierarchy utilized to determine such fair values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4"/>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205,722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205,722</w:t>
            </w:r>
          </w:p>
        </w:tc>
        <w:tc>
          <w:tcPr>
            <w:tcW w:w="120" w:type="dxa"/>
            <w:vAlign w:val="bottom"/>
            <w:shd w:val="clear" w:color="auto" w:fill="CFF0FC"/>
          </w:tcPr>
          <w:p>
            <w:pPr>
              <w:spacing w:after="0"/>
              <w:rPr>
                <w:sz w:val="17"/>
                <w:szCs w:val="17"/>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7"/>
                <w:szCs w:val="17"/>
                <w:color w:val="auto"/>
              </w:rPr>
            </w:pPr>
          </w:p>
        </w:tc>
      </w:tr>
      <w:tr>
        <w:trPr>
          <w:trHeight w:val="20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50,632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50,632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financial assets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257,340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257,340</w:t>
            </w:r>
          </w:p>
        </w:tc>
        <w:tc>
          <w:tcPr>
            <w:tcW w:w="12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-161925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-161925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4"/>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207,599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207,599</w:t>
            </w:r>
          </w:p>
        </w:tc>
        <w:tc>
          <w:tcPr>
            <w:tcW w:w="120" w:type="dxa"/>
            <w:vAlign w:val="bottom"/>
            <w:shd w:val="clear" w:color="auto" w:fill="CFF0FC"/>
          </w:tcPr>
          <w:p>
            <w:pPr>
              <w:spacing w:after="0"/>
              <w:rPr>
                <w:sz w:val="17"/>
                <w:szCs w:val="17"/>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Pr>
          <w:p>
            <w:pPr>
              <w:spacing w:after="0"/>
              <w:rPr>
                <w:sz w:val="17"/>
                <w:szCs w:val="17"/>
                <w:color w:val="auto"/>
              </w:rPr>
            </w:pPr>
          </w:p>
        </w:tc>
      </w:tr>
      <w:tr>
        <w:trPr>
          <w:trHeight w:val="20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90,328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90,328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financial assets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298,912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298,912</w:t>
            </w:r>
          </w:p>
        </w:tc>
        <w:tc>
          <w:tcPr>
            <w:tcW w:w="12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-161925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-161925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as Level 1 assets under the fair value hierarchy, as these assets have been valued using quoted market prices for identical assets in active markets without any valuation adjustment.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STOCK OPTION AND GRANT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Option Information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option activity for the three months ended March 31,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02"/>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5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r>
      <w:tr>
        <w:trPr>
          <w:trHeight w:val="19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9,407,851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11.93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42,967</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6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2,574,095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13.99</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(465,661)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6.94</w:t>
            </w:r>
          </w:p>
        </w:tc>
        <w:tc>
          <w:tcPr>
            <w:tcW w:w="12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3,161</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Cancelled or forfeited</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(74,343)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11.44</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11,441,942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12.60</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49,741</w:t>
            </w:r>
          </w:p>
        </w:tc>
      </w:tr>
      <w:tr>
        <w:trPr>
          <w:trHeight w:val="18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exercisable as of March 31, 2026</w:t>
            </w:r>
          </w:p>
        </w:tc>
        <w:tc>
          <w:tcPr>
            <w:tcW w:w="16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5,560,686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14.84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22,717</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unvested as of March 31, 2026</w:t>
            </w: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5,881,256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27,023</w:t>
            </w: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grant-date fair value of options granted during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11.69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-415925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-398780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three months ended March 31, 2026 and 2025 was $3.2 million and $0.1 million, respectively.</w:t>
      </w:r>
    </w:p>
    <w:p>
      <w:pPr>
        <w:spacing w:after="0" w:line="162"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The total fair value of stock options vested during the three months ended March 31, 2026 and 2025 was $4.6 million and $6.7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Activity</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restricted stock unit, or RSU, activity for the three months ended March 31,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5"/>
        </w:trPr>
        <w:tc>
          <w:tcPr>
            <w:tcW w:w="7680" w:type="dxa"/>
            <w:vAlign w:val="bottom"/>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r>
      <w:tr>
        <w:trPr>
          <w:trHeight w:val="19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as of December 31, 2025</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2,725,084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8.12</w:t>
            </w: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1,952,447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14.01</w:t>
            </w:r>
          </w:p>
        </w:tc>
      </w:tr>
      <w:tr>
        <w:trPr>
          <w:trHeight w:val="203"/>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(676,314)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10.95</w:t>
            </w: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(68,067)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7.76</w:t>
            </w: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as of March 31, 2026</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3,933,150</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Activity</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2025, the Company granted performance-based restricted stock units, or PSUs, whereby vesting depends upon the occurrence of certain milestone events, or the 2025 PSUs. When the achievement of milestone events, which include certain clinical milestones related to avexitide for the treatment of PBH, becomes probable, compensation cost will be recognized from the grant date over the requisite service period and a cumulative catch-up adjustment will be recorded to reflect the portion of the employees' requisite service that has been provided to date. As of March 31, 2026, none of the milestone events related to the 2025 PSUs had been deemed probable of being achieved.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color w:val="auto"/>
        </w:rPr>
        <w:t>A summary of PSU activity for the three months ended March 31,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15"/>
        </w:trPr>
        <w:tc>
          <w:tcPr>
            <w:tcW w:w="5320" w:type="dxa"/>
            <w:vAlign w:val="bottom"/>
          </w:tcPr>
          <w:p>
            <w:pPr>
              <w:spacing w:after="0"/>
              <w:rPr>
                <w:sz w:val="18"/>
                <w:szCs w:val="18"/>
                <w:color w:val="auto"/>
              </w:rPr>
            </w:pPr>
          </w:p>
        </w:tc>
        <w:tc>
          <w:tcPr>
            <w:tcW w:w="2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r>
      <w:tr>
        <w:trPr>
          <w:trHeight w:val="199"/>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as of December 31, 2025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2,089,494</w:t>
            </w:r>
          </w:p>
        </w:tc>
        <w:tc>
          <w:tcPr>
            <w:tcW w:w="2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20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(39,925)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7"/>
                <w:szCs w:val="17"/>
                <w:color w:val="auto"/>
              </w:rPr>
            </w:pPr>
          </w:p>
        </w:tc>
      </w:tr>
      <w:tr>
        <w:trPr>
          <w:trHeight w:val="23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as of March 31, 2026</w:t>
            </w:r>
          </w:p>
        </w:tc>
        <w:tc>
          <w:tcPr>
            <w:tcW w:w="20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2,049,569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Expense</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Stock-based compensation expense for the three months ended March 31, 2026 and 2025,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8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3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00" w:type="dxa"/>
            <w:vAlign w:val="bottom"/>
          </w:tcPr>
          <w:p>
            <w:pPr>
              <w:spacing w:after="0"/>
              <w:rPr>
                <w:sz w:val="17"/>
                <w:szCs w:val="17"/>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28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2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shd w:val="clear" w:color="auto" w:fill="CFF0FC"/>
          </w:tcPr>
          <w:p>
            <w:pPr>
              <w:spacing w:after="0"/>
              <w:rPr>
                <w:sz w:val="18"/>
                <w:szCs w:val="18"/>
                <w:color w:val="auto"/>
              </w:rPr>
            </w:pP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unrecognized stock-based compensation expense as of March 31, 2026, by type of awards (in thousands), and the weighted-average period over which that expense is expected to be recognized (in years). The total unrecognized stock-based compensation expense will be adjusted for actual forfeitures as they occur.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186"/>
        </w:trPr>
        <w:tc>
          <w:tcPr>
            <w:tcW w:w="52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00" w:type="dxa"/>
            <w:vAlign w:val="bottom"/>
          </w:tcPr>
          <w:p>
            <w:pPr>
              <w:spacing w:after="0"/>
              <w:rPr>
                <w:sz w:val="16"/>
                <w:szCs w:val="16"/>
                <w:color w:val="auto"/>
              </w:rPr>
            </w:pPr>
          </w:p>
        </w:tc>
      </w:tr>
      <w:tr>
        <w:trPr>
          <w:trHeight w:val="215"/>
        </w:trPr>
        <w:tc>
          <w:tcPr>
            <w:tcW w:w="5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Recognition Period</w:t>
            </w:r>
          </w:p>
        </w:tc>
        <w:tc>
          <w:tcPr>
            <w:tcW w:w="100" w:type="dxa"/>
            <w:vAlign w:val="bottom"/>
          </w:tcPr>
          <w:p>
            <w:pPr>
              <w:spacing w:after="0"/>
              <w:rPr>
                <w:sz w:val="18"/>
                <w:szCs w:val="18"/>
                <w:color w:val="auto"/>
              </w:rPr>
            </w:pPr>
          </w:p>
        </w:tc>
      </w:tr>
      <w:tr>
        <w:trPr>
          <w:trHeight w:val="19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2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45,239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2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Performance-based restricted stock units</w:t>
            </w:r>
          </w:p>
        </w:tc>
        <w:tc>
          <w:tcPr>
            <w:tcW w:w="2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12,298</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left="760" w:right="8720" w:hanging="752"/>
        <w:spacing w:after="0" w:line="503" w:lineRule="auto"/>
        <w:tabs>
          <w:tab w:leader="none" w:pos="19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Under the Company’s Fourth Amended and Restated Certificate of Incorporation, or the certificate of incorporation, each share of common stock entitles the holder to one vote on all matters submitted to the stockholders for a vote provided, however, that, except as otherwise required by law, holders of common stock shall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Holders of common stock are entitled to receive dividends, as may be declared by the Company’s Board of Directors, if any, subject to the preferential dividend rights of the preferred stock. No dividends were declared or paid during the three months ended March 31, 2026 and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20" w:firstLine="636"/>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loss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RSUs and unvested PSUs. In computing diluted earnings per share, the Company utilizes the treasury stock method.</w:t>
      </w:r>
    </w:p>
    <w:p>
      <w:pPr>
        <w:spacing w:after="0" w:line="180" w:lineRule="exact"/>
        <w:rPr>
          <w:sz w:val="20"/>
          <w:szCs w:val="20"/>
          <w:color w:val="auto"/>
        </w:rPr>
      </w:pPr>
    </w:p>
    <w:p>
      <w:pPr>
        <w:ind w:right="720" w:firstLine="636"/>
        <w:spacing w:after="0" w:line="282" w:lineRule="auto"/>
        <w:rPr>
          <w:sz w:val="20"/>
          <w:szCs w:val="20"/>
          <w:color w:val="auto"/>
        </w:rPr>
      </w:pPr>
      <w:r>
        <w:rPr>
          <w:rFonts w:ascii="Times New Roman" w:cs="Times New Roman" w:eastAsia="Times New Roman" w:hAnsi="Times New Roman"/>
          <w:sz w:val="18"/>
          <w:szCs w:val="18"/>
          <w:color w:val="auto"/>
        </w:rPr>
        <w:t>Because the Company reports a net loss attributable to common stockholders, basic and diluted net loss per share attributable to common stockholders are the same for both periods presented.</w:t>
      </w:r>
    </w:p>
    <w:p>
      <w:pPr>
        <w:spacing w:after="0" w:line="162"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8"/>
          <w:szCs w:val="18"/>
          <w:color w:val="auto"/>
        </w:rPr>
        <w:t>All stock options, RSUs and PSUs units were excluded from the computation of diluted weighted-average shares outstanding because such securities would have an antidilutive impact for the three months ended March 31, 2026. The following stock options, RSUs and PSUs outstanding at each period end have been excluded from the calculation of diluted net loss per share because their inclusion would have been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56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6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11,441,942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9,620,559</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3,933,150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3,174,067</w:t>
            </w:r>
          </w:p>
        </w:tc>
        <w:tc>
          <w:tcPr>
            <w:tcW w:w="12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Performance-based restricted stock units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2,049,569</w:t>
            </w:r>
          </w:p>
        </w:tc>
        <w:tc>
          <w:tcPr>
            <w:tcW w:w="24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1,365,102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excluded common stock equivalents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17,424,661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14,159,728</w:t>
            </w:r>
          </w:p>
        </w:tc>
        <w:tc>
          <w:tcPr>
            <w:tcW w:w="12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60" w:right="7600" w:hanging="752"/>
        <w:spacing w:after="0" w:line="503"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Letter of Credit</w:t>
      </w: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Restricted cash equivalents consist of $0.9 million of cash serving as collateral for a letter of credit issued for the Company’s office spaces, and $0.1 million as collateral for a corporate credit card program. As of March 31, 2026 and December 31, 2025, the Company’s restricted cash equivalents balance was $1.0 million on its condensed consolidated balance sheets.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On February 9, 2024, a putative class action lawsuit was filed in the U.S. District Court for the Southern District of New York against us and certain of our current and former officers (Shih v. Amylyx Pharmaceuticals, Inc., et al., Case Number 1:24-CV-00988, or the Shih Complaint). Plaintiff filed an amended complaint on June 24, 2024. The Shih Complaint asserts a claim against all defendants for alleged violations of Section 10(b) of the Exchange Act and Rule 10b-5 promulgated thereunder and a claim under Section 20(a) against certain current and former officers as alleged controlling persons. The Shih Complaint alleges that defendants made materially false and misleading statements related to the commercial results and prospects for RELYVRIO. The Shih Complaint seeks unspecified damages, interest, costs and attorneys’ fees, and other unspecified relief that the court deems appropriate. On August 12, 2024, the case was transferred from the U.S. District Court for the Southern District of New York to the U.S. District Court for the District of Massachusetts, or the Court, and assigned docket number 1:24-CV-12068. Following the transfer, on September 6, 2024, defendants moved to dismiss the Shih Complaint. On September 30, 2025, the Court issued an order finding that the majority of the alleged misstatements are inactionable, but ultimately denied the motion to dismiss. The Company filed an answer on October 30, 2025. The parties have reached an agreement in principle to settle the class claims, subject to court approval, for $6.5 million, a significant portion of which will be funded by insurance proceeds.</w:t>
      </w:r>
    </w:p>
    <w:p>
      <w:pPr>
        <w:spacing w:after="0" w:line="19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addition to the Shih Complaint, on October 2, 2024, a derivative complaint was filed in the U.S. District Court for the District of Massachusetts against certain current and former director and officer defendants, or the Individual Defendants, naming us as a nominal defendant (Jones v. Cohen, et al., 1:24-CV-12527, or the Jones Derivative Complaint). The substantive allegations mirror those of the Shih Complaint but also include claims for alleged violations of Section 14(a) of the Exchange Act, breach of fiduciary duty, insider trading, and unjust enrichment against the Individual Defendants. The Jones Derivative Complaint seeks unspecified damages to be awarded to the Company along with interest, restitution, unspecified corporate governance and internal procedural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reforms and improvements, and plaintiff's attorneys' fees and costs. On October 31, 2024, the Court entered an order staying the action until the earlier of the dismissal of the Shih Complaint with prejudice, including the exhaustion of all appeals, or defendants file an answer to the Shih Complaint.</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July 2, 2025, a second derivative complaint was filed in the Court against certain current and former directors and officer defendants, naming the Company as nominal defendant (Hassine v. Cohen, et al., 1:25-CV-11879, or the Hassine Derivative Complaint and, together with the Jones Derivative Complaint, the Massachusetts Derivative Complaints). The substantive allegations mirror those of the Shih Complaint but also include claims for alleged violations of Sections 14(a), 10(b), and 21D of the Exchange Act, breach of fiduciary duty, and certain other common law claims. The Hassine Derivative Complaint seeks unspecified damages to be awarded to the Company along with interest, costs, and attorneys’ fees, restitution, and certain corporate governance and internal procedural reforms and improvements. On July 16, 2025, the parties to both Massachusetts Derivative Complaints moved the Court to consolidate the Hassine Derivative Complaint with the Jones Derivative Complaint and stay the action according to the terms of the previously-entered stay of the Jones Derivative Complaint. The Court approved the motion on July 22, 2025. The parties have stipulated to a briefing schedule for Defendants’ anticipated motion to dismiss.</w:t>
      </w:r>
    </w:p>
    <w:p>
      <w:pPr>
        <w:spacing w:after="0" w:line="18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April 7, 2026, a third derivative complaint was filed in Delaware Chancery Court against certain current and former directors and officer defendants, naming the Company as nominal defendant (Schweitzer v. Klee, et al., 2026-0459-BWD, the Schweitzer Complaint and, together with the Massachusetts Derivative Complaints, the Derivative Complaints). Like the Massachusetts Complaints, the substantive allegations mirror those of the Shih Complaint and allege breach of fiduciary duty and other common law claims. The Schweitzer Complaint seeks unspecified damages to be awarded to the Company along with interest, costs, and attorneys’ fees, restitution, and certain corporate governance and internal procedural reforms and improvements.</w:t>
      </w:r>
    </w:p>
    <w:p>
      <w:pPr>
        <w:spacing w:after="0" w:line="18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intend to defend against the Derivative Complaints vigorously. At this time, an estimate of the impact, if any, of the claims made in the Derivative Complaints cannot be made.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Royalty Payments</w:t>
      </w:r>
    </w:p>
    <w:p>
      <w:pPr>
        <w:spacing w:after="0" w:line="229" w:lineRule="exact"/>
        <w:rPr>
          <w:sz w:val="20"/>
          <w:szCs w:val="20"/>
          <w:color w:val="auto"/>
        </w:rPr>
      </w:pPr>
    </w:p>
    <w:p>
      <w:pPr>
        <w:ind w:right="140" w:firstLine="636"/>
        <w:spacing w:after="0" w:line="266" w:lineRule="auto"/>
        <w:rPr>
          <w:sz w:val="20"/>
          <w:szCs w:val="20"/>
          <w:color w:val="auto"/>
        </w:rPr>
      </w:pPr>
      <w:r>
        <w:rPr>
          <w:rFonts w:ascii="Times New Roman" w:cs="Times New Roman" w:eastAsia="Times New Roman" w:hAnsi="Times New Roman"/>
          <w:sz w:val="18"/>
          <w:szCs w:val="18"/>
          <w:color w:val="auto"/>
        </w:rPr>
        <w:t>The Company has entered into a limited number of grant and royalty agreements that include payment obligations contingent upon future events, such as commercialization or the receipt of proceeds from revenue-generating transactions related to the underlying technologies. As the conditions that would trigger royalty payments have not been met, no amounts have been recorded in the consolidated financial statements.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in the normal course of business with CMOs for raw material purchases and manufacturing services. As of March 31, 2026, there are no amounts committed under these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right="5600" w:hanging="752"/>
        <w:spacing w:after="0" w:line="532" w:lineRule="auto"/>
        <w:tabs>
          <w:tab w:leader="none" w:pos="28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ASSET ACQUISITIONS AND COLLABORATION AGREEMENTS </w:t>
      </w:r>
      <w:r>
        <w:rPr>
          <w:rFonts w:ascii="Times New Roman" w:cs="Times New Roman" w:eastAsia="Times New Roman" w:hAnsi="Times New Roman"/>
          <w:sz w:val="17"/>
          <w:szCs w:val="17"/>
          <w:i w:val="1"/>
          <w:iCs w:val="1"/>
          <w:color w:val="auto"/>
        </w:rPr>
        <w:t>Gubra A/S Collaboration and License Agreement</w:t>
      </w:r>
    </w:p>
    <w:p>
      <w:pPr>
        <w:spacing w:after="0" w:line="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December 23, 2024, the Company entered into a collaboration and license agreement, or the Gubra Agreement, with Gubra pursuant to which the parties will perform research and discovery activities for the development of a potential novel long-acting GLP-1 receptor antagonist, under the oversight of a joint research committee. The collaboration provides the Company an exclusive license to develop, manufacture, commercialize and otherwise exploit any development candidate and product(s) arising in the performance of activities under the agreement.</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made an immaterial upfront payment in January 2025, which became due upon the effective date of the Gubra Agreement. Since the payment was made for the use of Gubra’s intellectual property and research and development services and there is no alternative use, the Company recorded the upfront payment to research and development expense on the consolidated statements of operations in 2024. Gubra is eligible to receive an additional $53.5 million upon the achievement of certain development, regulatory and commercial milestones, as well as tiered royalties on future sales from any products that result from the agreement. Certain milestones were met and paid in the first quarter of 2026, specifically the selection and handover of the development candidate, which provided a milestone payment of $4 million to Gubra.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segment and reporting unit. Our operating segments are determined based on how our Co-Chief Executive Officers, who collectively serve as our chief operating decision makers, or CODM, manage our business, regularly access discrete financial information, and evaluate performance for operating decision-making purposes, including allocation of resources or capital to specific compounds or projects in line with the Company’s overall strategies and goals. The Company’s entire business is managed by a single management team, which reports to the CODM.</w:t>
      </w:r>
    </w:p>
    <w:p>
      <w:pPr>
        <w:spacing w:after="0" w:line="18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CODM assess segment performance and decide how to allocate resources based on consolidated net loss. The CODM use net loss to monitor budget and forecast versus actual results in assessing segment performance and to determine how to allocate resources. The measure of segment assets used in determining how to manage and allocate resources is reported on the consolidated balance sheets as total assets. All of the Company's long-lived assets were held within the U.S.</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revenue and expenses to consolidated net loss for the three months ended March 31, 2026 and 2025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840" w:type="dxa"/>
            <w:vAlign w:val="bottom"/>
          </w:tcPr>
          <w:p>
            <w:pPr>
              <w:spacing w:after="0"/>
              <w:rPr>
                <w:sz w:val="17"/>
                <w:szCs w:val="17"/>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840" w:type="dxa"/>
            <w:vAlign w:val="bottom"/>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Direct research and development expenses by program</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Avexitide</w:t>
            </w:r>
          </w:p>
        </w:tc>
        <w:tc>
          <w:tcPr>
            <w:tcW w:w="130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320" w:type="dxa"/>
            <w:vAlign w:val="bottom"/>
          </w:tcPr>
          <w:p>
            <w:pPr>
              <w:spacing w:after="0"/>
              <w:rPr>
                <w:sz w:val="18"/>
                <w:szCs w:val="18"/>
                <w:color w:val="auto"/>
              </w:rPr>
            </w:pP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AMX0035 - PSP</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programs</w:t>
            </w:r>
            <w:r>
              <w:rPr>
                <w:rFonts w:ascii="Times New Roman" w:cs="Times New Roman" w:eastAsia="Times New Roman" w:hAnsi="Times New Roman"/>
                <w:sz w:val="24"/>
                <w:szCs w:val="24"/>
                <w:color w:val="auto"/>
                <w:vertAlign w:val="superscript"/>
              </w:rPr>
              <w:t>3</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Personnel-related research and development</w:t>
            </w:r>
            <w:r>
              <w:rPr>
                <w:rFonts w:ascii="Times New Roman" w:cs="Times New Roman" w:eastAsia="Times New Roman" w:hAnsi="Times New Roman"/>
                <w:sz w:val="24"/>
                <w:szCs w:val="24"/>
                <w:color w:val="auto"/>
                <w:vertAlign w:val="superscript"/>
              </w:rPr>
              <w:t>4</w:t>
            </w: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(2,570)</w:t>
            </w:r>
          </w:p>
        </w:tc>
        <w:tc>
          <w:tcPr>
            <w:tcW w:w="1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(2,231)</w:t>
            </w:r>
          </w:p>
        </w:tc>
      </w:tr>
      <w:tr>
        <w:trPr>
          <w:trHeight w:val="216"/>
        </w:trPr>
        <w:tc>
          <w:tcPr>
            <w:tcW w:w="6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5</w:t>
            </w:r>
          </w:p>
        </w:tc>
        <w:tc>
          <w:tcPr>
            <w:tcW w:w="1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r>
      <w:tr>
        <w:trPr>
          <w:trHeight w:val="22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320" w:type="dxa"/>
            <w:vAlign w:val="bottom"/>
          </w:tcPr>
          <w:p>
            <w:pPr>
              <w:spacing w:after="0"/>
              <w:rPr>
                <w:sz w:val="19"/>
                <w:szCs w:val="19"/>
                <w:color w:val="auto"/>
              </w:rPr>
            </w:pP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right="340" w:firstLine="8"/>
        <w:spacing w:after="0" w:line="246" w:lineRule="auto"/>
        <w:tabs>
          <w:tab w:leader="none" w:pos="1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significant expense categories and amounts align with the segment-level information that is regularly provided to the CODM. As the Company has one reportable segment, there were no intersegment eliminations for the three months ended March 31, 2026 and 2025.</w:t>
      </w:r>
    </w:p>
    <w:p>
      <w:pPr>
        <w:spacing w:after="0" w:line="5" w:lineRule="exact"/>
        <w:rPr>
          <w:rFonts w:ascii="Times New Roman" w:cs="Times New Roman" w:eastAsia="Times New Roman" w:hAnsi="Times New Roman"/>
          <w:sz w:val="20"/>
          <w:szCs w:val="20"/>
          <w:color w:val="auto"/>
          <w:vertAlign w:val="superscript"/>
        </w:rPr>
      </w:pPr>
    </w:p>
    <w:p>
      <w:pPr>
        <w:ind w:right="240" w:firstLine="8"/>
        <w:spacing w:after="0" w:line="246" w:lineRule="auto"/>
        <w:tabs>
          <w:tab w:leader="none" w:pos="1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Depreciation and amortization expense of $0.1 million during the three months ended March 31, 2026, and $0.2 million during the three months ended March 31, 2025, are allocated across the significant expense captions.</w:t>
      </w:r>
    </w:p>
    <w:p>
      <w:pPr>
        <w:spacing w:after="0" w:line="5" w:lineRule="exact"/>
        <w:rPr>
          <w:rFonts w:ascii="Times New Roman" w:cs="Times New Roman" w:eastAsia="Times New Roman" w:hAnsi="Times New Roman"/>
          <w:sz w:val="20"/>
          <w:szCs w:val="20"/>
          <w:color w:val="auto"/>
          <w:vertAlign w:val="superscript"/>
        </w:rPr>
      </w:pPr>
    </w:p>
    <w:p>
      <w:pPr>
        <w:ind w:right="40" w:firstLine="8"/>
        <w:spacing w:after="0" w:line="246" w:lineRule="auto"/>
        <w:tabs>
          <w:tab w:leader="none" w:pos="1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programs includes milestone payments totaling $4.0 million made to Gubra following the selection and handover of AMX0318 as a development candidate for PBH and other rare diseases during the three months ended March 31, 2026.</w:t>
      </w:r>
    </w:p>
    <w:p>
      <w:pPr>
        <w:ind w:left="120" w:hanging="112"/>
        <w:spacing w:after="0" w:line="204" w:lineRule="auto"/>
        <w:tabs>
          <w:tab w:leader="none" w:pos="1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does not allocate personnel and other similar costs to specific programs because these costs are deployed across multiple programs.</w:t>
      </w:r>
    </w:p>
    <w:p>
      <w:pPr>
        <w:spacing w:after="0" w:line="24" w:lineRule="exact"/>
        <w:rPr>
          <w:rFonts w:ascii="Times New Roman" w:cs="Times New Roman" w:eastAsia="Times New Roman" w:hAnsi="Times New Roman"/>
          <w:sz w:val="22"/>
          <w:szCs w:val="22"/>
          <w:color w:val="auto"/>
          <w:vertAlign w:val="superscript"/>
        </w:rPr>
      </w:pPr>
    </w:p>
    <w:p>
      <w:pPr>
        <w:ind w:left="120" w:hanging="112"/>
        <w:spacing w:after="0" w:line="182" w:lineRule="auto"/>
        <w:tabs>
          <w:tab w:leader="none" w:pos="1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segment items primarily consists of net realized and unrealized losses on foreign exchange transactions.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On April 9, 2026, the Company reached an agreement in principle to settle the claims arising from the Shih Complaint. Under the agreement, which is subject to court approval, the Company will pay a settlement amount of $6.5 million, a significant portion of which will be funded through insurance proceeds. The Company did not record a liability related to this matter as of March 31, 2026 as the underlying conditions did not exist at that time.</w:t>
      </w:r>
    </w:p>
    <w:p>
      <w:pPr>
        <w:spacing w:after="0" w:line="18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Company expects to record the settlement charge during the second quarter of 2026, and does not expect the settlement to have a material impact on the Company's future results of operations, financial position, or liquidity beyond the amounts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condensed consolidated financial information and the notes thereto appearing elsewhere in this Quarterly Report.</w:t>
      </w:r>
    </w:p>
    <w:p>
      <w:pPr>
        <w:spacing w:after="0" w:line="15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and other parts of this Quarterly Report contain forward-looking statements that involve risks and uncertainties, such as statements of our plans, objectives, expectations and intentions. As a result of many factors, including those risk factors set forth in our most recent Annual Report on Form 10-K, or 2025 Annual Report, and in our subsequent Quarterly Reports, our actual results could differ materially from the results described in or implied by the forward-looking statements contained in the following discussion and analysis.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pharmaceutical company with a mission to develop and advance novel therapies for communities with high unmet medical needs. We have preclinical and clinical development programs underway in endocrine conditions and neurodegenerative diseases. We are advancing a pipeline in which we have matched investigational therapies with diseases for which we believe these therapies can make the greatest impact, based on well-defined mechanistic rationales, clear clinical outcomes and biomarkers, and rigorous preclinical data, agnostic of modality. We are currently developing four investigational therapies for potential impact across several diseases: avexitide in PBH, AMX0035 in Wolfram syndrome, AMX0114 in ALS, and AMX0318 in PBH and other rare diseases.</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lead investigational asset is avexitide, a first-in-class glucagon-like peptide-1, or GLP-1, receptor antagonist. Avexitide has been evaluated as a treatment for PBH and congenital hyperinsulinism, or congenital HI, two indications characterized by hyperinsulinemic hypoglycemia. The U.S. Food and Drug Administration, or the FDA, has granted avexitide Breakthrough Therapy Designation for both PBH and congenital HI, Rare Pediatric Disease Designation for congenital HI, and Orphan Drug Designation for the treatment of hyperinsulinemic hypoglycemia.</w:t>
      </w:r>
    </w:p>
    <w:p>
      <w:pPr>
        <w:spacing w:after="0" w:line="18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PBH is a chronic metabolic condition that is estimated to affect approximately 8% of people in the U.S. who have undergone the two most common types of bariatric surgery, sleeve gastrectomy and Roux-en-Y gastric bypass, or RYGB, (approximately 160,000 people in the U.S.). PBH is thought to be driven by an exaggerated GLP-1 response, primarily in response to food intake, leading to persistent, recurrent, and often debilitating rapid drops in blood glucose, known as hypoglycemia. The American Diabetes Association recognizes hypoglycemia as a potential medical emergency because low blood glucose levels can compromise the body’s ability to maintain essential physiologic processes. In addition, hypoglycemia in the context of PBH may manifest as neuroglycopenia – an inadequate supply of glucose to the brain, which can cause confusion, cognitive dysfunction, loss of consciousness, and seizures. PBH can be associated with substantial disability, compromising safety, disrupting independent living, and affecting nutritional status and overall quality of life. Despite the substantial burden, there are currently no FDA-approved therapies for PBH.</w:t>
      </w:r>
    </w:p>
    <w:p>
      <w:pPr>
        <w:spacing w:after="0" w:line="19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Avexitide is a GLP-1 receptor antagonist designed to competitively bind to the GLP-1 receptor on pancreatic islet beta cells and inhibit the exaggerated GLP-1-driven insulin response characteristic of PBH, reducing inappropriate insulin secretion and stabilizing blood glucose levels.</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LUCIDITY (NCT06747468) is a 78-participant, multicenter, randomized, double-blind, placebo-controlled Phase 3 clinical trial evaluating the efficacy and safety of avexitide in participants with PBH following RYGB surgery. The Phase 3 trial is being conducted at 21 sites in the U.S. Participants were randomized 3:2 to receive either 90 mg of avexitide subcutaneously once daily or placebo. The trial includes an up to six-week screening period, including a three-week run-in period, a 16-week double-blind treatment period, and an open-label extension (OLE) period with a duration of 32 weeks. The primary efficacy objective of LUCIDITY is to evaluate the FDA-agreed upon primary outcome of reduction in the composite of Level 2 and Level 3 hypoglycemic events through Week 16. Safety and tolerability will also be evaluated. Enrollment for LUCIDITY was completed in March 2026. We continue to expect to announce topline data in the third quarter of 2026, and if approved, a commercial launch in 2027.</w:t>
      </w:r>
    </w:p>
    <w:p>
      <w:pPr>
        <w:spacing w:after="0" w:line="18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LUCIDITY was informed by data from five clinical trials of avexitide in people with PBH showing consistent, dose-dependent effects across studies. The five clinical trials include a Phase 1 trial, a single ascending dose trial, a multiple ascending dose trial, and two Phase 2 trials:</w:t>
      </w:r>
    </w:p>
    <w:p>
      <w:pPr>
        <w:spacing w:after="0" w:line="54" w:lineRule="exact"/>
        <w:rPr>
          <w:sz w:val="20"/>
          <w:szCs w:val="20"/>
          <w:color w:val="auto"/>
        </w:rPr>
      </w:pPr>
    </w:p>
    <w:p>
      <w:pPr>
        <w:ind w:left="1020" w:right="6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(PREVENT), 28-day, randomized, placebo-controlled crossover trial (n=18), results showed a significant reduction in rates of Level 2 and 3 hypoglycemic events in participants with PBH after RYGB surgery following treatment with 30 mg twice daily and 60 mg once daily of avexitide compared with placebo. PREVENT’s primary endpoint was met with statistical significance, showing both avexitide dosing regimens improved the lowest glucose level (nadir) after a meal as measured during formal mixed meal tolerance testing, or MMTT. Mean plasma glucose nadir was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8" w:name="page19"/>
    <w:bookmarkEnd w:id="18"/>
    <w:p>
      <w:pPr>
        <w:ind w:left="1020" w:right="620"/>
        <w:spacing w:after="0" w:line="289" w:lineRule="auto"/>
        <w:rPr>
          <w:sz w:val="20"/>
          <w:szCs w:val="20"/>
          <w:color w:val="auto"/>
        </w:rPr>
      </w:pPr>
      <w:r>
        <w:rPr>
          <w:rFonts w:ascii="Times New Roman" w:cs="Times New Roman" w:eastAsia="Times New Roman" w:hAnsi="Times New Roman"/>
          <w:sz w:val="17"/>
          <w:szCs w:val="17"/>
          <w:color w:val="auto"/>
        </w:rPr>
        <w:t>increased by 21% (p=0.001) and 26% (p=0.0002) following avexitide 30 mg twice daily and 60 mg once daily dosing, respectively, compared to placebo. Avexitide was generally well-tolerated. The most common adverse events, or AEs, were injection site bruising, headache, and nausea; these occurred more often with placebo than either avexitide dose. No participants withdrew due to AEs.</w:t>
      </w:r>
    </w:p>
    <w:p>
      <w:pPr>
        <w:spacing w:after="0" w:line="50" w:lineRule="exact"/>
        <w:rPr>
          <w:sz w:val="20"/>
          <w:szCs w:val="20"/>
          <w:color w:val="auto"/>
        </w:rPr>
      </w:pPr>
    </w:p>
    <w:p>
      <w:pPr>
        <w:ind w:left="1020" w:right="20" w:hanging="503"/>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2b, 28-day, open-label, investigator-initiated, crossover trial (n=16), 90 mg once daily and 45 mg twice daily of avexitide met its primary endpoint and significantly reduced rates of hypoglycemic events in participants following a variety of upper gastrointestinal surgeries, including RYGB, sleeve gastrectomy, esophagectomy, Nissen fundoplication, and gastrectomy. Participants in the Phase 2b trial receiving 90 mg once daily of avexitide, the dose Amylyx is evaluating in LUCIDITY, saw a statistically significant 53% reduction in Level 2 hypoglycemic events (p=0.004) and a statistically significant 66% reduction in Level 3 hypoglycemic events (p=0.0003). There were no reported serious AEs, and AEs were mostly mild to moderate and resolved without medical treatment. The most common AEs included diarrhea, headache, bloating, and injection site reaction/bruising. No participant withdrew due to AEs. In the Phase 2b trial, 90 mg once daily of avexitide has also demonstrated a favorable pharmacokinetic profile maintaining exposure in the therapeutic range through 24 hours, supporting once daily dosing.</w:t>
      </w:r>
    </w:p>
    <w:p>
      <w:pPr>
        <w:spacing w:after="0" w:line="188"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Avexitide was generally well-tolerated, with a favorable safety profile replicated across the five previous clinical trials in people with PBH. In addition, avexitide demonstrated a clear GLP-1 antagonist pharmacodynamic effect, including lowering insulin and raising the glucose nadir, in healthy volunteers.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July 2025, we presented new exploratory analyses from the Phase 2 PREVENT and Phase 2b clinical trials of avexitide for the treatment of PBH at the Endocrine Society’s annual meeting. In the Phase 2b trial, avexitide 90 mg once daily led to a 64% least-squares mean reduction (p=0.0031) versus baseline in the composite rate of Level 2 and Level 3 hypoglycemic events in PBH, with more than half of the participants experiencing no events during the treatment period. The 45 mg twice daily, 30 mg twice daily, and 60 mg once daily dose regimens all likewise demonstrated consistent reductions in composite rate of Level 2 and Level 3 hypoglycemic events. New pharmacokinetic and pharmacodynamic data were also presented, demonstrating continuous pharmacologic activity of the 90 mg once daily dose regimen for a 24-hour period.</w:t>
      </w:r>
    </w:p>
    <w:p>
      <w:pPr>
        <w:spacing w:after="0" w:line="18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May 2026, we announced the initiation of an Expanded Access Program (EAP) for the use of avexitide to treat U.S. adults with PBH following RYGB surgery. Initial eligible patients include individuals who have completed the pivotal Phase 3 LUCIDITY clinical trial and participants in a prior trial of avexitide in PBH following RYGB surgery.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congenital HI, we are actively engaging in discussions with the broader congenital HI community to develop a path forward.</w:t>
      </w:r>
    </w:p>
    <w:p>
      <w:pPr>
        <w:spacing w:after="0" w:line="225"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In addition to avexitide, we are advancing AMX0035, an oral, fixed-dose combination of sodium phenylbutyrate and taurursodiol in Wolfram syndrome, AMX0114 in ALS, and AMX0318 in PBH and other rare diseases.</w:t>
      </w:r>
    </w:p>
    <w:p>
      <w:pPr>
        <w:spacing w:after="0" w:line="16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AMX0035 is designed to slow or mitigate neurodegeneration by targeting endoplasmic reticulum, or ER stress, and mitochondrial dysfunction, two connected central pathways that lead to cell death and neurodegeneration. We are investigating AMX0035 in Wolfram syndrome, a neurodegenerative disease where ER stress and mitochondrial dysfunction are implicated.</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Wolfram syndrome is a rare, monogenic, progressive neurodegenerative disorder that progressively impacts multiple organs and systems. Wolfram syndrome is characterized by childhood-onset diabetes mellitus, optic nerve atrophy, and neurodegeneration. Common manifestations of Wolfram syndrome include diabetes mellitus and diabetes insipidus, gradual vision loss leading to blindness, hearing loss, neurogenic bladder, difficulties with balance and coordination, and difficulty breathing that can lead to respiratory failure and premature mortality. Wolfram syndrome is most commonly caused by pathogenic variants in Wolfram syndrome type 1 gene, or WFS1. Because of the clear link between WFS1 mutations and ER stress, Wolfram syndrome is considered a prototypical ER stress disorder. Wolfram syndrome affects approximately 3,000 people living in the U.S., and there are currently no FDA-approved treatment options.</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preclinical models, treatment with AMX0035 improved WFS1 protein expression, increased insulin secretion, and inhibited beta cell death in cells derived from people with Wolfram syndrome. AMX0035 also prevented cell death in neuronal cells derived from people with Wolfram syndrome and significantly delayed progression of the diabetes phenotype in a WFS1-knock-out preclinical model.</w:t>
      </w:r>
    </w:p>
    <w:p>
      <w:pPr>
        <w:spacing w:after="0" w:line="17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In October 2024, we announced positive topline data from the Phase 2 open-label HELIOS (NCT05676034) clinical trial of AMX0035 in 12 adults living with Wolfram syndrome. HELIOS is a single-site, single-arm, open-label, proof of biology, Phase 2 trial designed to study the effect of AMX0035 on safety and tolerability, and various measures of endocrinological, neurological,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20"/>
        <w:spacing w:after="0" w:line="258" w:lineRule="auto"/>
        <w:rPr>
          <w:sz w:val="20"/>
          <w:szCs w:val="20"/>
          <w:color w:val="auto"/>
        </w:rPr>
      </w:pPr>
      <w:r>
        <w:rPr>
          <w:rFonts w:ascii="Times New Roman" w:cs="Times New Roman" w:eastAsia="Times New Roman" w:hAnsi="Times New Roman"/>
          <w:sz w:val="18"/>
          <w:szCs w:val="18"/>
          <w:color w:val="auto"/>
        </w:rPr>
        <w:t>ophthalmologic function in adult participants living with Wolfram syndrome. HELIOS showed improvement in pancreatic beta cell function, as measured by C-peptide response after 24 weeks of treatment with AMX0035, the study’s primary efficacy endpoint, in contrast to the expected decrease in pancreatic function with disease progression. Similar overall improvements or stabilization were observed across all secondary endpoints, including hemoglobin A1c (HbA1c), time in target glucose range assessed by continuous glucose monitoring, and visual acuity. In addition, longer-term data for all participants who completed Week 36 (n=10) and Week 48 (n=6) assessments showed sustained improvement over time.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May 2025, we announced positive data from HELIOS at Week 48. Consistent with the HELIOS trial’s previously presented primary efficacy outcome of improvement in pancreatic function (as described above), treatment with AMX0035 through Week 48 demonstrated continued and sustained improvement in pancreatic beta cell function. Treatment with AMX0035 from Week 24 to Week 48 also showed sustained improvements or stabilization in glycemic control, as measured by hemoglobin A1c, or HbA1c, and time in target glucose range assessed by continuous glucose monitoring, as well as visual acuity. All participants with available measurements met the responder criteria, defined as either improvement or no change, on both the Patient Global Impression of Change and Clinician Global Impression of Change at Weeks 24 and 48, indicating stability or improvement in their Wolfram syndrome-related symptoms. Results from qualitative on-study interviews further supported the potential positive impact of AMX0035 on symptom burden.</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safety profile of AMX0035 in HELIOS data at Week 48 and Week 24 were consistent with prior safety data from the studies of AMX0035. All AEs were mild or moderate, and there were no serious AEs related to AMX0035 treatment. We anticipate presenting longer-term Week 96 data from HELIOS at an upcoming scientific meeting. We continue to work with the FDA on a Phase 3 trial in Wolfram syndrome. In addition, Amylyx is committed to supporting medically and scientifically sound research, including externally-sponsored research conducted with an institution or organization. Breakthrough T1D has provided funding to University of Washington and Amsterdam University Medical Center for a trial investigating AMX0035 as adjunctive therapy for treatment of insulin resistance in type 1 diabetes. Amylyx will provide clinical trial supply of AMX0035.</w:t>
      </w:r>
    </w:p>
    <w:p>
      <w:pPr>
        <w:spacing w:after="0" w:line="18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AMX0114 is an investigational antisense oligonucleotide, or ASO, targeting calpain-2, or </w:t>
      </w:r>
      <w:r>
        <w:rPr>
          <w:rFonts w:ascii="Times New Roman" w:cs="Times New Roman" w:eastAsia="Times New Roman" w:hAnsi="Times New Roman"/>
          <w:sz w:val="18"/>
          <w:szCs w:val="18"/>
          <w:i w:val="1"/>
          <w:iCs w:val="1"/>
          <w:color w:val="auto"/>
        </w:rPr>
        <w:t>CAPN2,</w:t>
      </w:r>
      <w:r>
        <w:rPr>
          <w:rFonts w:ascii="Times New Roman" w:cs="Times New Roman" w:eastAsia="Times New Roman" w:hAnsi="Times New Roman"/>
          <w:sz w:val="18"/>
          <w:szCs w:val="18"/>
          <w:color w:val="auto"/>
        </w:rPr>
        <w:t xml:space="preserve"> with FDA Fast Track Designation for the potential treatment of ALS. Decades of scientific literature and published data demonstrate that </w:t>
      </w:r>
      <w:r>
        <w:rPr>
          <w:rFonts w:ascii="Times New Roman" w:cs="Times New Roman" w:eastAsia="Times New Roman" w:hAnsi="Times New Roman"/>
          <w:sz w:val="18"/>
          <w:szCs w:val="18"/>
          <w:i w:val="1"/>
          <w:iCs w:val="1"/>
          <w:color w:val="auto"/>
        </w:rPr>
        <w:t>CAPN2</w:t>
      </w:r>
      <w:r>
        <w:rPr>
          <w:rFonts w:ascii="Times New Roman" w:cs="Times New Roman" w:eastAsia="Times New Roman" w:hAnsi="Times New Roman"/>
          <w:sz w:val="18"/>
          <w:szCs w:val="18"/>
          <w:color w:val="auto"/>
        </w:rPr>
        <w:t>, a protein involved in neurofilament biology, plays an essential role in axonal degeneration, which is a critical effector in the progression of various neurodegenerative diseases including ALS. ALS is a relentlessly progressive and fatal neurodegenerative disorder caused by motor neuron death in the brain and spinal cord. One of the ways ALS progresses is through axonal degeneration, which disrupts neural connectivity and contributes significantly to disease pathology. Motor neuron loss in ALS leads to deteriorating muscle function, the inability to move and speak, respiratory paralysis, and, eventually, death. ALS is defined as a rare disease, but it affects as many as 30,000 adults in the U.S. and 3,000 in Canada. The most common form of the disease is sporadic ALS, with more than 90% of people with ALS showing no clear family history.</w:t>
      </w:r>
    </w:p>
    <w:p>
      <w:pPr>
        <w:spacing w:after="0" w:line="18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preclinical studies, treatment with AMX0114 resulted in potent, dose-dependent, and durable reduction in </w:t>
      </w:r>
      <w:r>
        <w:rPr>
          <w:rFonts w:ascii="Times New Roman" w:cs="Times New Roman" w:eastAsia="Times New Roman" w:hAnsi="Times New Roman"/>
          <w:sz w:val="18"/>
          <w:szCs w:val="18"/>
          <w:i w:val="1"/>
          <w:iCs w:val="1"/>
          <w:color w:val="auto"/>
        </w:rPr>
        <w:t>CAPN2</w:t>
      </w:r>
      <w:r>
        <w:rPr>
          <w:rFonts w:ascii="Times New Roman" w:cs="Times New Roman" w:eastAsia="Times New Roman" w:hAnsi="Times New Roman"/>
          <w:sz w:val="18"/>
          <w:szCs w:val="18"/>
          <w:color w:val="auto"/>
        </w:rPr>
        <w:t xml:space="preserve"> mRNA and calpain-2 protein levels in disease-relevant cell models of axonal degeneration. This translated to improved neuronal survival and reductions in extracellular neurofilament light chain, or NfL levels, a broadly researched biomarker for axonal degeneration in ALS, across multiple disease models and paradigms of neuronal injury. AMX0114 was generally well-tolerated in in vivo preclinical safety studies.</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Phase 1 LUMINA clinical trial (NCT06665165) is a multinational, randomized, double-blind, placebo-controlled, multiple ascending dose trial evaluating the safety, tolerability, pharmacokinetics, and pharmacodynamics of AMX0114 in people living with ALS. LUMINA will also assess change from baseline in calpain-2 levels, NfL levels, and other pharmacodynamic biomarkers of ALS. LUMINA is anticipated to enroll approximately 48 adult participants. Participants will be randomized 3:1 to receive AMX0114 or placebo by intrathecal administration once every four weeks for a total of up to four doses. We completed enrollment of Cohort 1 (n=12) of LUMINA in September 2025 and completed enrollment of Cohort 2 (n=12) in March 2026.</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December 2025, we presented initial safety and tolerability data from Cohort 1 (n=12) of LUMINA demonstrating AMX0114 was generally well-tolerated, with no treatment-related serious AEs. Cohort 1 biomarker data from LUMINA is expected to be presented at the 2026 European Network to Cure ALS (ENCALS) Annual Meeting in June 2026. Cohort 1 of LUMINA is investigating the first and lowest of four doses being evaluated in the trial. The data are expected to provide initial information about the levels of the ALS biomarkers being assessed from the first dose in the LUMINA trial.</w:t>
      </w:r>
    </w:p>
    <w:p>
      <w:pPr>
        <w:spacing w:after="0" w:line="18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AMX0318 is a novel GLP-1 receptor antagonist for long-acting administration selected as a development candidate for PBH and other rare diseases in January 2026. AMX0318 was selected as a development candidate after demonstrating robust preclinical and chemical properties, including a favorable pharmacokinetic profile that may support long-acting administration, a robust chemical stability profile,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evidence of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activity and tolerability, and high solubility. AMX0318 was identified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120"/>
        <w:spacing w:after="0" w:line="282" w:lineRule="auto"/>
        <w:rPr>
          <w:sz w:val="20"/>
          <w:szCs w:val="20"/>
          <w:color w:val="auto"/>
        </w:rPr>
      </w:pPr>
      <w:r>
        <w:rPr>
          <w:rFonts w:ascii="Times New Roman" w:cs="Times New Roman" w:eastAsia="Times New Roman" w:hAnsi="Times New Roman"/>
          <w:sz w:val="18"/>
          <w:szCs w:val="18"/>
          <w:color w:val="auto"/>
        </w:rPr>
        <w:t>through a research collaboration with Gubra A/S, a company specializing in peptide-based drug discovery and preclinical contract research services. IND-enabling studies for AMX0318 are underway with an IND targeted for 2027.</w:t>
      </w:r>
    </w:p>
    <w:p>
      <w:pPr>
        <w:spacing w:after="0" w:line="16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$279.8 million and an accumulated deficit of $792.7 million. We believe our existing cash, cash equivalents and marketable securities as of March 31, 2026 will be sufficient to fund our operations into 2028. We have based this estimate on assumptions that may prove to be wrong, and we could exhaust our available capital resources sooner than we expect. See “Liquidity and Capital Resources” below.</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avexitide, AMX0035, AMX0114, AMX0318 and other potential future product candidates. We expense research and development costs as incurred. These expenses include:</w:t>
      </w:r>
    </w:p>
    <w:p>
      <w:pPr>
        <w:spacing w:after="0" w:line="68" w:lineRule="exact"/>
        <w:rPr>
          <w:sz w:val="20"/>
          <w:szCs w:val="20"/>
          <w:color w:val="auto"/>
        </w:rPr>
      </w:pPr>
    </w:p>
    <w:p>
      <w:pPr>
        <w:ind w:left="1020" w:right="6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CMOs, as well as investigative sites and consultants that conduct our clinical trials, preclinical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drug product for our preclinical studies and clinical trials, including manufacturing registration and validation batches, as well as pre-commercial manufacturing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acquire technologies to be used in research and development;</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payroll taxes, related benefits and stock-based compensation expense for employees engaged in research and development functions;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Certain of our indirect research and development expenses are not tracked on an indication-by-indication basis. We do not allocate employee costs and facilities, including depreciation or other indirect costs, to specific indications because these costs are deployed across multiple indications and, as such, are not separately classified. We use internal resources to oversee the research and discovery as well as to manage our preclinical development, process development, manufacturing and clinical development activities. These employees work across multiple indications and, therefore, we do not track their costs by indication.</w:t>
      </w:r>
    </w:p>
    <w:p>
      <w:pPr>
        <w:spacing w:after="0" w:line="183" w:lineRule="exact"/>
        <w:rPr>
          <w:sz w:val="20"/>
          <w:szCs w:val="20"/>
          <w:color w:val="auto"/>
        </w:rPr>
      </w:pPr>
    </w:p>
    <w:p>
      <w:pPr>
        <w:ind w:right="220" w:firstLine="749"/>
        <w:spacing w:after="0" w:line="274"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such as avexitide and AMX0035 in later stages of clinical development generally have higher development costs than those in earlier stages of clinical development, such as AMX0114 and AMX0318, primarily due to the increased size and duration of later-stage clinical trials and related product manufacturing expenses. We expect that our research and development expenses will increase in connection with our planned clinical development activities in the near term and in the future. At this time, we cannot accurately estimate or know the nature, timing and costs of the efforts that will be necessary to complete the clinical development of avexitide, AMX0035, AMX0114, AMX0318 and any future product candidates. Our clinical development costs may vary significantly based on factors such as:</w:t>
      </w:r>
    </w:p>
    <w:p>
      <w:pPr>
        <w:spacing w:after="0" w:line="6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from clinical trials and preclinical studies of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are developing.</w:t>
      </w:r>
    </w:p>
    <w:p>
      <w:pPr>
        <w:spacing w:after="0" w:line="225"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successful development and commercialization of avexitide, AMX0035, AMX0114, AMX0318 and any other current or future product candidates is highly uncertain, due to the numerous risks and uncertainties associated with product development and commercialization, including the following:</w:t>
      </w:r>
    </w:p>
    <w:p>
      <w:pPr>
        <w:spacing w:after="0" w:line="6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trials for separate indications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if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activities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other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avexitide, AMX0035 or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clinical supply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in the future for any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and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in pre-approval market access programs or in commercial access following approval.</w:t>
      </w:r>
    </w:p>
    <w:p>
      <w:pPr>
        <w:spacing w:after="0" w:line="225"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avexitide, AMX0035, AMX0114, AMX0318 or any other current or future product candidates could have a significant impact on the cost and timing associated with the development of our product candidates. We may never succeed in obtaining or maintaining, as applicable, regulatory approval for avexitide, AMX0035, AMX0114, AMX0318 or any other current or future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and related costs for personnel in executive, finance, sales, marketing, as well as administrative functions. Selling, general and administrative expenses also include legal fees relating to patent and corporate matters; professional fees for accounting, auditing, tax and administrative consulting services; corporate insurance costs; administrative travel expenses; sales and marketing expenses; information technology; charitable donations to independent charitable foundations; facility-related and other operating costs. We expect that selling, general and administrative expenses will continue to increase in future periods as we continue to increase headcount, advance our clinical pipeline, and incur significant costs related to our pre-commercialization activities as we prepare for potential near term regulatory approvals.</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have historically not incurred significant income taxes. We continue to maintain a full valuation allowance against all of our deferred tax assets based on management’s evaluation of all available evidence, including our history of incurring significant losses from operations. As a result, we do not expect to incur material income taxes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4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tcPr>
          <w:p>
            <w:pPr>
              <w:jc w:val="right"/>
              <w:ind w:right="81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27,610</w:t>
            </w:r>
          </w:p>
        </w:tc>
        <w:tc>
          <w:tcPr>
            <w:tcW w:w="280" w:type="dxa"/>
            <w:vAlign w:val="bottom"/>
          </w:tcPr>
          <w:p>
            <w:pPr>
              <w:spacing w:after="0"/>
              <w:rPr>
                <w:sz w:val="17"/>
                <w:szCs w:val="17"/>
                <w:color w:val="auto"/>
              </w:rPr>
            </w:pP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6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20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442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16,169</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442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20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4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4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(43,779)</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(37,803)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(5,976)</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42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4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9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0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20"/>
        </w:trPr>
        <w:tc>
          <w:tcPr>
            <w:tcW w:w="4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42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other income, net</w:t>
            </w: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442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81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(41,284)</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(35,907)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(5,377)</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-959485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-959485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-959485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-959485</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-161925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-161925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-161925</wp:posOffset>
            </wp:positionV>
            <wp:extent cx="1289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448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294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research and development expenses by program:</w:t>
            </w:r>
          </w:p>
        </w:tc>
        <w:tc>
          <w:tcPr>
            <w:tcW w:w="8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Avexitide</w:t>
            </w:r>
          </w:p>
        </w:tc>
        <w:tc>
          <w:tcPr>
            <w:tcW w:w="8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2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AMX0035 - PSP</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(3,914)</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programs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2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r>
      <w:tr>
        <w:trPr>
          <w:trHeight w:val="20"/>
        </w:trPr>
        <w:tc>
          <w:tcPr>
            <w:tcW w:w="5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direct research and development expenses by program</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18,616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4,855</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5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Payroll and personnel-related</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27,610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-299720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-299720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-299720</wp:posOffset>
            </wp:positionV>
            <wp:extent cx="1289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448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$27.6 million for the three months ended March 31, 2026, compared to $22.1 million for the three months ended March 31, 2025. The increase was primarily due to a $4.6 million increase in expenses related to the pivotal Phase 3 LUCIDITY clinical trial in PBH and other costs related to avexitide, and a $4.2 million increase in expenses related to other programs. Other programs includes milestone payments totaling $4.0 million made to Gubra following the selection and handover of AMX0318 as a development candidate for PBH and other rare diseases during the three months ended March 31, 2026. The increase was offset by a $3.9 million decrease in expenses related to AMX0035 for the treatment of PSP after its discontinuation.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$16.2 million for the three months ended March 31, 2026 compared to $15.7 million for the three months ended March 31, 2025. The increase was primarily due to an increase of $0.7 million in consulting and professional services, partially offset by a decrease of $0.2 million in other expenses. The increase in consulting and professional services is primarily due to an increase in commercial and marketing activity as we prepare for a potential commercial launch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right="380"/>
        <w:spacing w:after="0" w:line="282" w:lineRule="auto"/>
        <w:rPr>
          <w:sz w:val="20"/>
          <w:szCs w:val="20"/>
          <w:color w:val="auto"/>
        </w:rPr>
      </w:pPr>
      <w:r>
        <w:rPr>
          <w:rFonts w:ascii="Times New Roman" w:cs="Times New Roman" w:eastAsia="Times New Roman" w:hAnsi="Times New Roman"/>
          <w:sz w:val="18"/>
          <w:szCs w:val="18"/>
          <w:color w:val="auto"/>
        </w:rPr>
        <w:t>avexitide, if approved, as well as increased spend for general legal services. The decrease in other expenses is primarily due to lower facilities and IT-related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$279.8 million and an accumulated deficit of $792.7 million. We believe our existing cash, cash equivalents and marketable securities as of March 31, 2026 will be sufficient to fund our operations into 2028. We have based this estimate on assumptions that may prove to be wrong, and we could exhaust our available capital resources sooner than we expect.</w:t>
      </w:r>
    </w:p>
    <w:p>
      <w:pPr>
        <w:spacing w:after="0" w:line="17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Since inception, we have devoted substantially all of our efforts to research and development, pre-commercialization and commercialization activities, including recruiting management and technical staff, raising capital, producing materials for preclinical studies and clinical trials, and building infrastructure to support such activities. As of March 31, 2026, we have funded our operations primarily through public offerings of our common stock, private sales of preferred stock, convertible notes, and through revenue from sales of RELYVRIO and ALBRIOZA in the U.S. and Canada, respectively, between July 2022 and April 2024.</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expect to finance our near-term operations through our existing cash, cash equivalents and marketable securities and if needed, the sale of equity, debt financings or other capital sources, including potential collaborations with other companies, royalty financings, or other strategic transactions. Our inability to raise capital or secure other funding as and when needed could have a negative impact on our financial condition and ability to pursue our business strategies. There can be no assurances that our current operating plan will be achieved or that additional funding, if required, will be available on terms acceptable to us,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Uses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Despite the decline in research and development and general administrative expenses in 2025 as compared to 2024, we expect our expenses to increase in connection with our ongoing activities, particularly as we advance the preclinical activities, manufacturing and clinical trials of avexitide, AMX0035, AMX0114, AMX0318 and any other current or future product candidates or acquire or in-license additional product candidates or products. We may also incur expenses related to business development activities, such as in-licensing or acquisition of product candidates. In addition, we expect to incur additional costs associated with operating as a public company, including significant legal, accounting, investor relations and other expenses. We expect to incur significant expenses as we:</w:t>
      </w:r>
    </w:p>
    <w:p>
      <w:pPr>
        <w:spacing w:after="0" w:line="7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of avexitide in PBH, or any other indications, and conduct clinical trials of avexitide;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of AMX0035, including our ongoing Phase 2 trial of AMX0035 for the treatment of Wolfram syndrome and winding down of the Phase 2b/3 trial of AMX0035 in PSP;</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of AMX0114, including our ongoing Phase 1 clinical trial of AMX0114 for the treatment of 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INDs of AMX0035 for additional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AMX0035 for additional indications and for potential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preclinical efforts of AMX0318, including advancing IND-enabling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acquire or in-license additional product candidates or other assets;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obtain marketing approval for current or future product candidates and to support manufacturing on a commercial scale;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current or future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expenses in preparation for commercialization for any approved product candidates related to product sales, marketing, manufacturing, and distribution;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4" w:name="page25"/>
    <w:bookmarkEnd w:id="24"/>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preclinical, clinical, quality assurance, regulatory affairs, manufacturing, distribution, legal, compliance, finance, general and administrative, commercial and scientific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and programs, we are unable to estimate the exact amount of our working capital requirements. Our future funding requirements will depend on and could increase significantly as a result of many factors, including:</w:t>
      </w:r>
    </w:p>
    <w:p>
      <w:pPr>
        <w:spacing w:after="0" w:line="68" w:lineRule="exact"/>
        <w:rPr>
          <w:sz w:val="20"/>
          <w:szCs w:val="20"/>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and clinical development for avexitide, AMX0035, AMX0114, AMX0318 and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any future commercialization activities, including manufacturing, marketing, sales and distribution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avexitide, AMX0035, AMX0114, AMX0318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marketing, distribution and license agreements on favorable terms, if at all;</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activities;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delays with respect to preclinical and clinical development of avexitide, AMX0035, AMX0114, AMX0318 and any future product candidates, including as result of any future outbreak of any highly infectious or contagious diseases;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identifying and developing, acquiring or in-licensing additional product candidates or products;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future expansion of our facilities to accommodate our potential growth in personnel, and the costs of such additional personnel;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technologies or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any future product candidates, if and when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current and potential legal proceedings that may not be covered by our insurance;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sustain profitability, we may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common stock, convertible securities or other equity securities, current ownership interests will be diluted. 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c>
          <w:tcPr>
            <w:tcW w:w="1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(36,882)</w:t>
            </w:r>
          </w:p>
        </w:tc>
        <w:tc>
          <w:tcPr>
            <w:tcW w:w="10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8"/>
              </w:rPr>
              <w:t>(39,824)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2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8"/>
              </w:rPr>
              <w:t>(43,659)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79,921</w:t>
            </w:r>
          </w:p>
        </w:tc>
        <w:tc>
          <w:tcPr>
            <w:tcW w:w="220" w:type="dxa"/>
            <w:vAlign w:val="bottom"/>
          </w:tcPr>
          <w:p>
            <w:pPr>
              <w:spacing w:after="0"/>
              <w:rPr>
                <w:sz w:val="17"/>
                <w:szCs w:val="17"/>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65,662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(62,445)</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(308)</w:t>
            </w:r>
          </w:p>
        </w:tc>
        <w:tc>
          <w:tcPr>
            <w:tcW w:w="1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w:t>
            </w:r>
          </w:p>
        </w:tc>
        <w:tc>
          <w:tcPr>
            <w:tcW w:w="100" w:type="dxa"/>
            <w:vAlign w:val="bottom"/>
            <w:vMerge w:val="restart"/>
            <w:shd w:val="clear" w:color="auto" w:fill="CFF0FC"/>
          </w:tcPr>
          <w:p>
            <w:pPr>
              <w:spacing w:after="0"/>
              <w:rPr>
                <w:sz w:val="15"/>
                <w:szCs w:val="15"/>
                <w:color w:val="auto"/>
              </w:rPr>
            </w:pPr>
          </w:p>
        </w:tc>
        <w:tc>
          <w:tcPr>
            <w:tcW w:w="940" w:type="dxa"/>
            <w:vAlign w:val="bottom"/>
            <w:vMerge w:val="restart"/>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6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980" w:type="dxa"/>
            <w:vAlign w:val="bottom"/>
            <w:vMerge w:val="restart"/>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8"/>
              </w:rPr>
              <w:t>(17,624)</w:t>
            </w:r>
          </w:p>
        </w:tc>
        <w:tc>
          <w:tcPr>
            <w:tcW w:w="3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220" w:type="dxa"/>
            <w:vAlign w:val="bottom"/>
            <w:shd w:val="clear" w:color="auto" w:fill="CFF0FC"/>
          </w:tcPr>
          <w:p>
            <w:pPr>
              <w:spacing w:after="0"/>
              <w:rPr>
                <w:sz w:val="15"/>
                <w:szCs w:val="15"/>
                <w:color w:val="auto"/>
              </w:rPr>
            </w:pPr>
          </w:p>
        </w:tc>
        <w:tc>
          <w:tcPr>
            <w:tcW w:w="1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cash equivalents</w:t>
            </w:r>
          </w:p>
        </w:tc>
        <w:tc>
          <w:tcPr>
            <w:tcW w:w="100" w:type="dxa"/>
            <w:vAlign w:val="bottom"/>
            <w:vMerge w:val="continue"/>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660" w:type="dxa"/>
            <w:vAlign w:val="bottom"/>
            <w:gridSpan w:val="2"/>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12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$36.9 million of cash, primarily resulting from our net loss of $41.3 million, $0.6 million net accretion of discounts on investments, and $5.3 million of net cash used by changes in our operating assets and liabilities, offset by $6.1 million of non-cash stock-based compensation expense and a $4.0 million charge for in-process research and development, or IPR&amp;D, milestones related to the Gubra collaboration.</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Net cash used by changes in our operating assets and liabilities primarily consisted of a $6.7 million decrease in accrued expenses and a $0.3 million decrease in operating lease liabilities, offset by a $1.4 million decrease in prepaid expenses and other current assets and a $0.3 million decrease in operating right-of-use assets.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$39.8 million of cash, primarily resulting from our net loss of $35.9 million, $9.2 million of net cash used by changes in our operating assets and liabilities and $1.7 million net accretion of discounts on investments, offset by $6.8 million of non-cash stock-based compensation expense.</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Net cash used by changes in our operating assets and liabilities primarily consisted of a $0.7 million decrease in prepaid expenses and other current assets, a $1.9 million increase in accounts payable, offset by a $11.9 million decrease in accrued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investing activities was $36.3 million, resulting primarily from $60.0 million of investments that matured, offset by $19.7 million of purchases of marketable securities and $4.0 million in IPR&amp;D milestone payments related to the Gubra collaboration.</w:t>
      </w:r>
    </w:p>
    <w:p>
      <w:pPr>
        <w:spacing w:after="0" w:line="16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$43.7 million, resulting primarily from $103.6 million of purchases of marketable securities, offset by $60.0 million of investments that matured.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$3.2 million. This amount consisted of $3.2 million of proceeds from exercises of stock options and vesting of stock awards, net of withholding taxes paid on stock-based awards.</w:t>
      </w:r>
    </w:p>
    <w:p>
      <w:pPr>
        <w:spacing w:after="0" w:line="16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$65.7 million. This amount consisted primarily of $65.6 million in proceeds from the January 2025 Offering, net of offering costs paid.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Recent Accounting Pronouncements and Significant Judgments and Estimates</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0" w:lineRule="exact"/>
        <w:rPr>
          <w:sz w:val="20"/>
          <w:szCs w:val="20"/>
          <w:color w:val="auto"/>
        </w:rPr>
      </w:pPr>
    </w:p>
    <w:p>
      <w:pPr>
        <w:ind w:right="220" w:firstLine="749"/>
        <w:spacing w:after="0" w:line="284"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from those described in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disclosed in our 2025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officers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officers and our principal financial officer, evaluated the effectiveness of our disclosure controls and procedures as of March 31, 2026. Based on the evaluation of our disclosure controls and procedures as of March 31, 2026, our principal executive officers and principal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February 9, 2024, a putative class action lawsuit was filed in the U.S. District Court for the Southern District of New York against us and certain of our current and former officers (Shih v. Amylyx Pharmaceuticals, Inc., et al., Case Number 1:24-CV-00988, or the Shih Complaint). Plaintiff filed an amended complaint on June 24, 2024. The Shih Complaint asserts a claim against all defendants for alleged violations of Section 10(b) of the Exchange Act and Rule 10b-5 promulgated thereunder and a claim under Section 20(a) against certain current and former officers as alleged controlling persons. The Shih Complaint alleges that defendants made materially false and misleading statements related to the commercial results and prospects for RELYVRIO. The Shih Complaint seeks unspecified damages, interest, costs and attorneys’ fees, and other unspecified relief that the court deems appropriate. On August 12, 2024, the case was transferred from the U.S. District Court for the Southern District of New York to the U.S. District Court for the District of Massachusetts, or the Court, and assigned docket number 1:24-CV-12068. Following the transfer, on September 6, 2024, defendants moved to dismiss the Shih Complaint. On September 30, 2025, the Court issued an order finding that the majority of the alleged misstatements are inactionable, but ultimately denied the motion to dismiss. The Company filed an answer on October 30, 2025. The parties have reached an agreement in principle to settle the class claims, subject to court approval, for $6.5 million, a significant portion of which will be funded by insurance proceeds.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to the Shih Complaint, on October 2, 2024, a derivative complaint was filed in the U.S. District Court for the District of Massachusetts against certain current and former director and officer defendants, or the Individual Defendants, naming the Company as a nominal defendant (Jones v. Cohen, et al., 1:24-CV-12527, or the Jones Derivative Complaint). The substantive allegations mirror those of the Shih Complaint but also include claims for alleged violations of Section 14(a) of the Exchange Act, breach of fiduciary duty, insider trading, and unjust enrichment against the Individual Defendants. The Jones Derivative Complaint seeks unspecified damages to be awarded to the Company along with interest, restitution, unspecified corporate governance and internal procedural reforms and improvements, and plaintiff's attorneys' fees and costs. On October 31, 2024, the Court entered an order staying the action until the earlier of the dismissal of the Shih Complaint with prejudice, including the exhaustion of all appeals, or defendants file an answer to the Shih Complaint.</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July 2, 2025, a second derivative complaint was filed in the Court against certain current and former directors and officer defendants, naming the Company as nominal defendant (Hassine v. Cohen, et al., 1:25-CV-11879, or the Hassine Derivative Complaint and, together with the Jones Derivative Complaint, the Massachusetts Derivative Complaints). The substantive allegations mirror those of the Shih Complaint but also include claims for alleged violations of Sections 14(a), 10(b), and 21D of the Exchange Act, breach of fiduciary duty, and certain other common law claims. The Hassine Derivative Complaint seeks unspecified damages to be awarded to the Company along with interest, costs, and attorneys’ fees, restitution, and certain corporate governance and internal procedural reforms and improvements. On July 16, 2025, the parties to both Massachusetts Derivative Complaints moved the Court to consolidate the Hassine Derivative Complaint with the Jones Derivative Complaint and stay the action according to the terms of the previously-entered stay of the Jones Derivative Complaint. The Court approved the motion on July 22, 2025. The parties have stipulated to a briefing schedule for Defendants’ anticipated motion to dismiss.</w:t>
      </w:r>
    </w:p>
    <w:p>
      <w:pPr>
        <w:spacing w:after="0" w:line="18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April 7, 2026, a third derivative complaint was filed in Delaware Chancery Court against certain current and former directors and officer defendants, naming the Company as nominal defendant (Schweitzer v. Klee, et al., 2026-0459-BWD, the Schweitzer Complaint and, together with the Massachusetts Derivative Complaints, the Derivative Complaints). Like the Massachusetts Complaints, the substantive allegations mirror those of the Shih Complaint and allege breach of fiduciary duty and other common law claims. The Schweitzer Complaint seeks unspecified damages to be awarded to the Company along with interest, costs, and attorneys' fees, restitution, and certain corporate governance and internal procedural reforms and improvements.</w:t>
      </w:r>
    </w:p>
    <w:p>
      <w:pPr>
        <w:spacing w:after="0" w:line="183"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intend to defend against the Derivative Complaints vigorously. At this time, an estimate of the impact, if any, of the claims made in the Derivative Complaints cannot be made.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Quarterly Report and in other documents that we file with the SEC, in evaluating our business and our prospects. Investing in our common stock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ind w:left="46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21"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generate significant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return to profitability unless and until we successfully commercialize any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funding in the future to meet our financial needs and to pursue our business objectives. If we are unable to obtain funding if and when needed, we could be forced to delay, reduce or eliminate our product discovery and development activities or commercialization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and Future Product Candidates</w:t>
      </w:r>
    </w:p>
    <w:p>
      <w:pPr>
        <w:spacing w:after="0" w:line="121" w:lineRule="exact"/>
        <w:rPr>
          <w:sz w:val="20"/>
          <w:szCs w:val="20"/>
          <w:color w:val="auto"/>
        </w:rPr>
      </w:pPr>
    </w:p>
    <w:p>
      <w:pPr>
        <w:ind w:left="1020" w:right="4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heavily on the success of avexitide, our most advanced product candidate, and AMX0035. If we are unable to successfully complete late-stage trials, obtain regulatory approvals for, and successfully commercialize, avexitide and/or AMX0035, or experience significant delays in doing so, our business may be materially harmed.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denial of regulatory approval for any of our current or any future product candidates in any jurisdiction could adversely impact our business and our results of operations, and could cause us delay or even cease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concentrated our research and development efforts on the treatment of neurodegenerative diseases, a field that has seen very limited success in product development, and have only recently further expanded upon our existing development efforts in the endocrine and metabolic field, an area in which we have limited experience in drug development.</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foreign authorities are lengthy, time-consuming and inherently unpredictable, and if we are ultimately unable to maintain or obtain regulatory approval for any current or future product candidates, our business will be substantially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21" w:lineRule="exact"/>
        <w:rPr>
          <w:sz w:val="20"/>
          <w:szCs w:val="20"/>
          <w:color w:val="auto"/>
        </w:rPr>
      </w:pPr>
    </w:p>
    <w:p>
      <w:pPr>
        <w:ind w:left="1020" w:right="16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assist in conducting our clinical trials. If they do not perform satisfactorily, we may not be able to obtain regulatory approval or successfully commercialize avexitide, AMX0035 or any other current or future product candidates, or such approval or commercialization may be delayed,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to establish additional collaborations and if we are not able to establish and maintain them on commercially reasonable terms, we may have to alter our development and future commercialization plans.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enter into collaborations with third parties for the development and commercialization of avexitide, AMX0035, AMX0114, AMX0318 or any other current or future product candidates, and our prospects with respect to avexitide, AMX0035, AMX0114, AMX0318 and our other current or future product candidates will depend in significant part on the success of those collaborations.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avexitide, AMX0035 or Future Product Candidates</w:t>
      </w:r>
    </w:p>
    <w:p>
      <w:pPr>
        <w:spacing w:after="0" w:line="121" w:lineRule="exact"/>
        <w:rPr>
          <w:sz w:val="20"/>
          <w:szCs w:val="20"/>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avexitide for PBH, and congenital HI, for AMX0035 for Wolfram syndrome and other neurodegenerative diseases, and for any other product candidates we are currently developing or may in the future develop or acquire may be smaller than we expect.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in the future to expand our sales, marketing, manufacturing and distribution capabilities or enter into agreements with third parties to market and sell avexitide, AMX0035 or other current or future product candidates for which we obtain marketing approval, we will be unable to generate any additional product revenue.</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current or future product candidate of ours receives regulatory approval, it may fail to maintain the degree of market acceptance by physicians, patients, third-party payors and others in the medical community necessary for continued commercial success or to remain profitable.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 parties to manufacture avexitide or AMX0035 in compliance with cGMP may increase the risk that we will not have sufficient cGMP-compliant quantities of avexitide or AMX0035 or necessary quantities of such materials on time or at an acceptable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our ability to protect our intellectual property and proprietary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 Matters</w:t>
      </w:r>
    </w:p>
    <w:p>
      <w:pPr>
        <w:spacing w:after="0" w:line="121" w:lineRule="exact"/>
        <w:rPr>
          <w:sz w:val="20"/>
          <w:szCs w:val="20"/>
          <w:color w:val="auto"/>
        </w:rPr>
      </w:pPr>
    </w:p>
    <w:p>
      <w:pPr>
        <w:ind w:left="1020" w:right="1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continuously evaluating and pursuing strategic transactions, and cannot guarantee that previous or future strategic transactions, acquisitions or business combinations pursued to further our mission to improve our underlying business performance will, in fact, produce any benefits.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our executive officers, principal consultants and others, and the loss of their services would materially harm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only have a limited number of employees to manage and operate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which has been significantly impacted by geopolitical instability, ongoing military conflicts, including the ongoing conflicts between Russia and Ukraine, and the U.S. and Iran, and in the Middle East, the evolving regulatory activities and policy changes under the current U.S. government, events related thereto, and changes in inflation and interest rates, any of which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right="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or market volatility resulting from national or global economic conditions, including those affecting the financial services industry, could adversely affect our business, financial condition or results of operations.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0" w:name="page31"/>
    <w:bookmarkEnd w:id="30"/>
    <w:p>
      <w:pPr>
        <w:ind w:left="324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generate significant losses for the foreseeable future.</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continue to incur significant research and development and other expenses related to clinical development and potential approvals for our current and future product candidates, including for avexitide, AMX0035 and AMX0114 in additional indications other than ALS, and for ongoing operations. Since our inception, we have devoted the majority of our financial resources and efforts to research and development, including preclinical studies and our clinical trials, preparation for commercialization and commercialization activities. We invested substantial resources into our product development efforts of AMX0035 and toward the commercialization and approval of AMX0035 as RELYVRIO/ALBRIOZA for ALS. We voluntarily discontinued the marketing authorizations for RELYVRIO/ALBRIOZA for ALS and removed the product from the U.S. and Canada based on topline results from the Phase 3 PHOENIX trial, which failed to meet its prespecified primary and secondary endpoints. Our financial condition and operating results, including our revenues, expenses and net income (loss), have in the past and are likely in the future to fluctuate significantly from quarter to quarter and year to year. For example, we generated revenues of $380.8 million in 2023 as a result of sales of RELYVRIO/ALBRIOZA, but following its withdrawal, we will no longer generate revenues from this product. Accordingly, you should not rely upon the results of any prior quarterly or annual periods as indications of future operating performance. Additionally, net losses and negative cash flows have had, and may in the future have, an adverse effect on our stockholders’ equity and working capital. As of March 31, 2026, we had an accumulated deficit of $792.7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significant expenses will be incurred if and as we:</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of avexitide, AMX0035, AMX0114, AMX0318 and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commercialization, including drug product and drug substance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preclinical and clinical development efforts for any current or future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commercialization of any current or future product candidate development and to help us comply with our obligations as a public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avexitide, AMX0035, AMX0114 or AMX0318 in indications that successfully complete clinical development;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products or technologies.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return to profitability unless and until we successfully commercialize any of our current or future product candidates.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once again become and to remain profitable depends on our ability to generate revenue. While we have a limited history of generating revenue from the commercialization of RELYVRIO/ALBRIOZA, we do not expect to generate additional significant revenue, if any, unless and until we, either alone or with a collaborator, are able to obtain regulatory approval for, and successfully commercialize, avexitide, AMX0035 for indications other than ALS or any other current or future product candidates or products we may develop or in-license. Successful commercialization will require achievement of many key milestones, which vary by jurisdiction and may include demonstrating safety and efficacy in clinical trials, obtaining regulatory, including marketing,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if any,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failure to resume revenue generating activities or regain profitability may continue to depress the market price of our common stock and could impair our ability to raise capital or obtain other financing, expand our business, diversify our product offerings or continue our operations. If we continue to suffer losses as we have in the past, prior to the commercialization of RELYVRIO and ALBRIOZA, investors may not receive any return on their investment and may lose their entire investment.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31" w:name="page32"/>
    <w:bookmarkEnd w:id="31"/>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deliver clinical supply of avexitide or AMX0035;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market acceptance of our product and product candidates, if approved, as a treatment 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advancement of existing or future development candidates into the clinic or product candidates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feasibility of developing, manufacturing, and commercializing our product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or approval processes;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avexitide and AMX0035 for additional indications and to commercialize avexitide and AMX0035 for such additional indications, if approved;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international aspects of our business including the conduct of clinical trials in multiple locations and potential commercialization in such locations;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IP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IP, know-how or technologies;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that our competitors and potential competitors may have in securing funding, obtaining the rights to critical IP or developing competing technologies 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such as power outages, strikes, acts of terrorism or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of domestic and global economic and geopolitical events.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herein, and others, the results of any of our prior quarterly or annual periods should not be relied upon as indications of our future operating performance.</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financial results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 Our stock price may also decline as a result of unexpected clinical trial results in one or more of our ongoing or future clinical trials.</w:t>
      </w:r>
    </w:p>
    <w:p>
      <w:pPr>
        <w:spacing w:after="0" w:line="176"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we will require substantial additional funding in the future to meet our financial needs and to pursue our business objectives. If we are unable to obtain funding if and when needed, we could be forced to delay, reduce or eliminate our product discovery and development activities or commercialization efforts.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spend substantial amounts to continue the clinical development of avexitide, the clinical development of AMX0035 in indications other than ALS, and for the preclinical and clinical development of additional product candidates, or in the in-license, acquisition or development of other product candidates or products. If we are unable to obtain additional marketing approvals for avexitide, AMX0035, or for any other current or future product candidates that we develop, in-license or acquire, we may require significant additional amounts of cash in order to continue to develop avexitide, AMX0035, AMX0114, AMX0318 and any other current or future product candidates and fund our operations. In addition, other unanticipated costs may arise in the course of our development efforts. Because the design and outcome of our ongoing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ind w:right="280"/>
        <w:spacing w:after="0" w:line="282" w:lineRule="auto"/>
        <w:rPr>
          <w:sz w:val="20"/>
          <w:szCs w:val="20"/>
          <w:color w:val="auto"/>
        </w:rPr>
      </w:pPr>
      <w:r>
        <w:rPr>
          <w:rFonts w:ascii="Times New Roman" w:cs="Times New Roman" w:eastAsia="Times New Roman" w:hAnsi="Times New Roman"/>
          <w:sz w:val="18"/>
          <w:szCs w:val="18"/>
          <w:color w:val="auto"/>
        </w:rPr>
        <w:t>and anticipated clinical trials is highly uncertain, we cannot reasonably estimate the actual amounts necessary to successfully complete the development and commercialization of any product candidate we develop.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340" w:hanging="503"/>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researching and developing avexitide, AMX0035 for Wolfram syndrome and potential additional indications, AMX0114, AMX0318, as well as any other product candidates we are currently developing or may in the future develop;</w:t>
      </w:r>
    </w:p>
    <w:p>
      <w:pPr>
        <w:spacing w:after="0" w:line="31"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our efforts to obtain marketing approvals for avexitide in PBH, AMX0035 for the treatment of Wolfram syndrome and potential additional indications, AMX0114, AMX0318, and our efforts to obtain approvals for other product candidates we are developing or may in the future develop and pursue;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other product candidates that we may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avexitide, AMX0035 and for any approved indications, or any other product candidate that receives regulatory approval to the extent such costs are not the responsibility of any future collaborators, including the costs and timing of establishing sufficient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on a jurisdiction-by-jurisdiction basis, revenue, if any, received from commercial sales of avexitide and AMX0035 for any approved indications or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acquire, or acquire rights to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pay royalties in connection with the development and commercialization of avexitide or any other products or product candidates we may in-license or acquire;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fluctuation;</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w:t>
      </w:r>
    </w:p>
    <w:p>
      <w:pPr>
        <w:spacing w:after="0" w:line="3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As a result of the challenges caused by economic uncertainty in domestic and global markets due to geopolitical instability and conflict, including the ongoing war in Ukraine and the conflict in the Middle East, evolving regulatory activities and policy changes under the current U.S. government, the global credit and financial markets have experienced in recent periods significant volatility and disruptions, including diminished liquidity and credit availability, declines in consumer confidence, changes to rates of inflation and interest rates and uncertainty about economic and global stability. If the equity and credit markets continue to deteriorate, it may make any necessary debt or equity financing impossible or more difficult, more costly or more dilutive.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 committed source of additional capital and if we are unable to raise additional capital or secure other financing, if needed, in sufficient amounts or on terms acceptable to us, we may have to significantly delay, scale back or discontinue the development of avexitide, AMX0035, AMX0114, AMX0318 or any other current or future product candidates or other research and development initiatives. We may need to seek collaborators for avexitide, AMX0035, AMX0114, AMX0318 and any other current or future product candidates at an earlier stage than otherwise would be desirable or on terms that are less favorable than might otherwise be available or relinquish or license on unfavorable terms our rights to avexitide, AMX0035, AMX0114, AMX0318 and any other current or future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existing cash, cash equivalents and marketable securities as of March 31, 2026 will be sufficient to fund our operations into 2028.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expect our expenses to continue to increase in both the near term and long term in connection with our planned operations. Unless and until we can generate a substantial amount of revenue on a sustained basis, if at all, we expect we will be required to finance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future cash needs through public or private equity offerings, royalty-based or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Securing financing could also require a substantial amount of time and attention from our management and may divert a disproportionate amount of their attention away from day-to-day activities, which may adversely affect our management’s ability to oversee the development of avexitide, AMX0035, AMX0114, AMX0318 or any future product candidates.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local and international income taxation are constantly under review by persons involved in the legislative process and by the Internal Revenue Service and the U.S. Treasury Department. For example, the OBBBA was signed into law on July 4, 2025 and made significant changes to the U.S. federal tax law. Changes to tax laws (which changes may have retroactive application) could adversely affect us or holders of our common stock. For example, under Section 174 of the Internal Revenue Code of 1986, as amended, or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The OBBBA also makes significant changes to the Medicaid, Medicare, and Health Insurance Marketplace federal healthcare programs. Changes include new requirements states must meet to maintain federal support for the Medicaid programs, as well as stricter criteria beneficiaries must meet to qualify for and maintain enrollment in federal healthcare programs. The effect of these changes could result in reductions in our patient population and managed care enrollees that we serve across our federal healthcare program lines of business due to, among other things, more stringent eligibility requirements such as the imposition of work or community service requirements, and copayments on many services, limitation of Medicaid eligibility to certain lawfully present individuals, and the effect of immigration enforcement actions which may discourage beneficiaries from applying or reapplying for federal healthcare benefits. These risks could have a material adverse effect on our business, results of operations, financial condition or cash flows.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Medicaid provider tax reform has been targeted by the current administration to reduce federal Medicaid spending, including restricting states from using provider taxes to help finance coverage of undocumented immigrants and cutting provider taxes and capping state-directed payments.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right="260"/>
        <w:spacing w:after="0" w:line="261" w:lineRule="auto"/>
        <w:rPr>
          <w:sz w:val="20"/>
          <w:szCs w:val="20"/>
          <w:color w:val="auto"/>
        </w:rPr>
      </w:pPr>
      <w:r>
        <w:rPr>
          <w:rFonts w:ascii="Times New Roman" w:cs="Times New Roman" w:eastAsia="Times New Roman" w:hAnsi="Times New Roman"/>
          <w:sz w:val="18"/>
          <w:szCs w:val="18"/>
          <w:color w:val="auto"/>
        </w:rPr>
        <w:t>liquidity problems. Although we do not currently have investments with any financial institution that has experienced such events, if any financial institution with which we have a relationship were to be placed into receivership, we may be unable to access such funds. In addition, if any parties with whom we conduct business are unable to access funds pursuant to instruments or lending arrangements with such a financial institution, such parties’ ability to pay their obligations to us or to enter into new commercial arrangements requiring additional payments to us could be adversely affected.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Inflation and fluctuations in interest rates have led to a decline in the trading value of previously issued government securities with interest rates below current market interest rates. Although the U.S. Department of Treasury, Federal Deposit Insurance Corporation, or FDIC, and Federal Reserve Board have announced a program to provide up to $25 billion of loans to financial institutions secured by certain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event of the closure of other banks or financial institutions in the future, or that they would do so in a timely fashion.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financial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and Future Product Candidates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heavily on the success of avexitide, our most advanced product candidate, and AMX0035. If we are unable to successfully complete late-stage trials, obtain regulatory approvals for, and successfully commercialize, avexitide and/or AMX0035, or experience significant delays in doing so, our business may be materially harmed.</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future success depends significantly on our ability to successfully develop, and obtain regulatory approvals for and commercialize, avexitide in PBH and AMX0035 in indications other than ALS, including Wolfram syndrome. Avexitide has been evaluated in five Phase 1 and Phase 2 clinical trials for PBH and has also been studied in congenital HI. In February 2025, we activated the first sites for the pivotal Phase 3 LUCIDITY clinical trial for avexitide in PBH and in April 2025, we announced that the first participant had been dosed. Recruitment and enrollment of LUCIDITY are complete. All participants have been randomized and dosed as of the first quarter of 2026, and we continue to expect topline data in the third quarter of 2026, and if approved, a commercial launch in 2027. We reported positive topline results from the Phase 2 HELIOS trial, an open-label study of AMX0035 in 12 adult participants with Wolfram syndrome. At Week 24, stabilization or improvement was demonstrated across all key clinical measures, including pancreatic function, glycemic control, and vision. Long-term Week 48 data demonstrated that treatment with AMX0035 led to continued sustained stabilization or improvement. Our business success depends heavily on our ability to successfully complete clinical trials for our product candidates. We have completed the IND-enabling studies of AMX0114 in ALS and fully enrolled cohort 1 (n=12) and cohort 2 (n=12) of the Phase 1 LUMINA trial in ALS in September 2025 and March 2026, respectively.</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will need to have sufficient funds for, and successfully complete, our clinical development of avexitide in PBH, AMX0035 for the treatment of Wolfram syndrome and other indications, AMX0114 in ALS, AMX0318 in PBH and other rare diseases, and any other product candidates we may develop or acquire.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future regulatory and commercial success of avexitide, AMX0035, AMX0114, AMX0318 or any other current or future product candidates are subject to a number of risks, including the following: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data from our preclinical studies and clinical trials that supports an acceptable risk-benefit profile of avexitide, AMX0035 or any other current or future product candidates in the intended populations;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applicable regulatory requirements, including to satisfy applicable rules governing fixed dose combination products, as applicable;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our preclinical and clinical data by regulatory authorities to support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safety issues or adverse side effects;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 including with any expected NCE and new clinical investigation data exclusivity and orphan drug market exclusivity, as applicable;</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designations from applicable regulatory authorities, including breakthrough designation for avexitide, orphan designation for avexitide and AMX0035, and Fast Track Designation for AMX0114;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avexitide, AMX0035 or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avexitide, AMX0035, AMX0114, AMX0318 or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avexitide, AMX0035, AMX0114, AMX0318 or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avexitide, AMX0035 or any other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identifying patients with the diseases targeted by avexitide, AMX0035, AMX0114, AMX0318 or any other current or future product candidates and accurately estimating the size of applicable patient populations or disease prevalence;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products following any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drugs or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we promote and distribute our products consistent with all applicable healthcare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3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obtain or maintain regulatory approvals for, or successfully commercialize avexitide, AMX0035 or any of our other current or future product candidates, or if we experience delays as a result of any of these risks or otherwise, our business could be materially harmed.</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of the large number of drugs in development in the pharmaceutical industry, only a small percentage result in the submission of marketing applications to regulatory authorities, and even fewer are approved for commercialization. Furthermore, even if we do receive regulatory approval for our current or any of our future product candidates, any such approval may be subject to limitations on the indications or uses or the patient populations for which we may market the product. For example, our Phase 3 avexitide trial is in PBH following RYGB surgery, and the FDA may require that we provide additional clinical data to support an indication beyond PBH following RYGB surgery. Additionally, it is unknown whether disruptions and personnel turnover at the FDA, as a result of leadership changes, staff reductions or otherwise, may contribute to uncertainty in the regulatory approval process.</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Additionally, we may not realize the full commercial potential of avexitide, AMX0035 or any other current or future product candidates that receive marketing approval if we are unable to appropriately identify patients with the diseases targeted by such product candidates. Accordingly, even if we are able to obtain the requisite financing to continue to fund our development activities, we cannot assure you that we will successfully develop or commercialize our current or any future product candidates for any indication in any jurisdiction. If we or any of our future collaborators are unable to develop, maintain, or obtain regulatory approvals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or, if approved, successfully commercialize our current or any future product candidates for our initial or potential additional indications, we may not be able to generate sufficient revenue to continue our business. In addition, our failure to demonstrate positive results in our clinical trials in any indication for which we are developing our current product candidates, or to satisfy other regulatory requirements, could adversely affect our development efforts for avexitide, AMX0035 in other indications, AMX0114, or AMX0318.</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delay or denial of regulatory approval for any of our current or any future product candidates in any jurisdiction could adversely impact our business and our results of operations, and could cause us to delay or even cease operations.</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research, testing, manufacturing, labeling, approval, sale, marketing, distribution and post-market obligations of drug products are subject to extensive regulation by the FDA and other regulatory agencies in the U.S. and other countries, and such regulations differ from country to country.</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FDA or any other foreign regulatory agency can delay, limit, deny or withdraw approval to market avexitide, AMX0035 or any future product candidates for many reasons, including:</w:t>
      </w:r>
    </w:p>
    <w:p>
      <w:pPr>
        <w:spacing w:after="0" w:line="54"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any other applicable foreign regulatory agency that avexitide, AMX0035 or any future product candidate is safe and effective for the requested indication;</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gain agreement from applicable foreign regulatory authorities that avexitide, AMX0035 or any future product candidate is appropriate for approval under applicable regulatory pathways;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any other applicable foreign regulatory agency’s disagreement with the interpretation of data from preclinical and clinical studies and trials;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avexitide, AMX0035 or any future product candidate outweigh any safety or other perceived risks;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any other applicable foreign regulatory agency’s requirement for additional preclinical or clinical studies or trials, including studies to satisfy applicable rules governing fixed dose combination products or post-market requirements, as applicable;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any other applicable foreign regulatory agency’s having differing requirements for the trial protocols used in our clinical trials;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any other applicable foreign regulatory agency’s non-approval of the formulation, labeling and/or the specifications of avexitide, AMX0035 or any future product candidates;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any other applicable foreign regulatory agency’s failure to accept the manufacturing processes or third-party manufacturers with which we contract; or</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the FDA or any other applicable foreign regulatory agencies to significantly change in a manner rendering our clinical data insufficient for approval.</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FDA or the applicable foreign regulatory agency may also approve avexitide, AMX0035 or any future product candidates for a more limited indication and/or a narrower patient population than we originally request, and the FDA or any other applicable foreign regulatory agency may not approve the labeling that we believe is necessary or desirable for the successful commercialization of avexitide, AMX0035 or any future product candidates. Any delay in obtaining, or inability to obtain, applicable regulatory approval would delay or prevent commercialization of avexitide, AMX0035 or any future product candidates and would materially adversely impact our business and prospects.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AMX0035 is a fixed-dose combination drug product and certain regulatory authorities may require a demonstration that each component makes a contribution to the claimed effects in addition to demonstrating that the combination is safe and effective for the intended population.</w:t>
      </w:r>
    </w:p>
    <w:p>
      <w:pPr>
        <w:spacing w:after="0" w:line="15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Under the FDA’s combination rule, the FDA generally will not file or approve an NDA for a fixed-dose combination product unless each component of a proposed drug product is shown to make a contribution to the claimed effects and the dosage of each component (amount, frequency, duration) is safe and effective for the intended population. For additional information on FDA’s combination rule, see the section entitled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Rule for Fixed-Dose Combination Products</w:t>
      </w:r>
      <w:r>
        <w:rPr>
          <w:rFonts w:ascii="Times New Roman" w:cs="Times New Roman" w:eastAsia="Times New Roman" w:hAnsi="Times New Roman"/>
          <w:sz w:val="18"/>
          <w:szCs w:val="18"/>
          <w:color w:val="auto"/>
        </w:rPr>
        <w:t>” in our 2025 Annual Report.</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Similar requirements may be imposed on us by the European Medicines Agency, or EMA, in the EU and comparable regulatory authorities in other jurisdictions where we intend to seek regulatory approval. For any fixed-dose combination products we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right="140"/>
        <w:spacing w:after="0" w:line="282" w:lineRule="auto"/>
        <w:rPr>
          <w:sz w:val="20"/>
          <w:szCs w:val="20"/>
          <w:color w:val="auto"/>
        </w:rPr>
      </w:pPr>
      <w:r>
        <w:rPr>
          <w:rFonts w:ascii="Times New Roman" w:cs="Times New Roman" w:eastAsia="Times New Roman" w:hAnsi="Times New Roman"/>
          <w:sz w:val="18"/>
          <w:szCs w:val="18"/>
          <w:color w:val="auto"/>
        </w:rPr>
        <w:t>develop, we may be required to produce clinical data supporting the contribution of each component when present at the levels included in the fixed-dose combination in order to obtain marketing authorization in the U.S. or EU.</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require us to conduct one or more clinical trials to support such a demonstration, such as a factorial study, the design, duration, and scope of such clinical trials will be decided upon after further discussions with those agencies and other comparable foreign regulatory authorities. As a result, we are unable to predict with certainty the estimated timing or scope of any future clinical trials of AMX0035 we may be required to conduct to satisfy these requirements governing fixed dose combination products in various jurisdictions. Ongoing third-party data in neurology, specifically within ALS, on our products or other products may influence regulatory decision making, including for fixed-dose combinations.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concentrated our research and development efforts on the treatment of neurodegenerative diseases, a field that has seen very limited success in product development, and have only recently further expanded upon our existing development efforts in the endocrine and metabolic field, an area in which we have limited experience in drug development.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neurodegenerative diseases and have only recently further expanded upon our existing development efforts in the endocrine and metabolic field with the acquisition of avexitide. This shift in focus may result in additional costs arising from operating expenses and hiring personnel, challenges with building our expertise in the endocrine and metabolic field, or diversion of management’s attention away from AMX0035. Historically, efforts by pharmaceutical companies in the field of neurodegenerative diseases have experienced limited successes in product development. The development of neurodegenerative therapies presents unique challenges, including an imperfect understanding of the biology, the presence of the blood brain barrier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approved therapeutic options available for patients with ALS and other neurodegenerative disorders. Our future success is highly dependent on the successful development and commercialization of avexitide, AMX0035 and any other current or future product candidates for treating neurodegenerative diseases or for treating endocrine conditions. Developing and commercializing avexitide, AMX0035 and any other current or future product candidates for treatment of neurodegenerative diseases or for treating PBH and congenital HI subjects us to a number of challenges, including ensuring that we have developed or acquired the requisite expertise in these areas, selected the optimal doses, execute appropriate clinical trials to test for efficacy and obtain regulatory approval from the FDA and other comparable foreign regulatory authorities.</w:t>
      </w:r>
    </w:p>
    <w:p>
      <w:pPr>
        <w:spacing w:after="0" w:line="19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authorities are lengthy, time-consuming and inherently unpredictable, and if we are ultimately unable to obtain regulatory approval for our current or any future product candidates, our business will be substantially harmed.</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and any future collaborators, are not permitted to commercialize, market, promote or sell any product candidate in the U.S. or elsewhere without obtaining regulatory approval from the FDA and other comparable foreign regulatory authorities. Regulatory authorities in other jurisdictions may have similar requirements. The time required to obtain approval by the FDA and other comparable foreign regulatory authorities is unpredictable, and typically takes many years following the commencement of clinical trials and depends upon numerous factors, including substantial discretion of such regulatory authorities. In addition, approval policies, regulations, or the type and amount of clinical data necessary to gain approval may change during the course of a product candidate’s clinical development and may vary among jurisdictions. For example,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In addition, the FDA in any approval needs to determine that there is substantial evidence of effectiveness.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FDA regulations and guidance also allow for greater flexibility and tolerance for uncertainty in the context of rare and fatal diseases. In February 2026, the FDA Commissioner publicly indicated that a single adequate and well-controlled pivotal clinical trial supported by confirmatory evidence will be the FDA’s default standard moving forward for novel products, rather than two such trials; this statement was not a formal agency action, and the scope, implementation and durability of this policy position remain uncertain. FDA retains broad discretion to require additional clinical data for any product candidate, including a second adequate and well-controlled clinical trial.</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avexitide, AMX0035 for our indications other than ALS or any current or future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8" w:name="page39"/>
    <w:bookmarkEnd w:id="38"/>
    <w:p>
      <w:pPr>
        <w:ind w:right="20"/>
        <w:spacing w:after="0" w:line="253" w:lineRule="auto"/>
        <w:rPr>
          <w:sz w:val="20"/>
          <w:szCs w:val="20"/>
          <w:color w:val="auto"/>
        </w:rPr>
      </w:pPr>
      <w:r>
        <w:rPr>
          <w:rFonts w:ascii="Times New Roman" w:cs="Times New Roman" w:eastAsia="Times New Roman" w:hAnsi="Times New Roman"/>
          <w:sz w:val="18"/>
          <w:szCs w:val="18"/>
          <w:color w:val="auto"/>
        </w:rPr>
        <w:t>protocols or applicable regulatory requirements, and determination by the FDA or any other comparable foreign regulatory authority that a product candidate may not continue development or is not approvable. For example, our Phase 3 clinical trial of AMX0035 for the treatment of ALS failed to meet its primary and secondary endpoints. Additionally, our expenses could increase if we are required by the FDA or any other comparable foreign regulatory authority to perform clinical trials in addition to those currently expected, or if there are any delays in completing our clinical trials or the development of avexitide, AMX0035 in additional indications and any current or future product candidates. It is possible that even if avexitide, AMX0035 or any other current or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avexitide, AMX0035 or any other current or future product candidate that is greater than the actual positive effect, if any. Similarly, in our clinical trials we may fail to detect toxicity of or intolerability caused by avexitide, AMX0035 or any other current or future product candidate, or mistakenly believe that avexitide, AMX0035 or any other current or future product candidates are toxic or not well-tolerated when that is not in fact the case.</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Avexitide, AMX0035, AMX0114, AMX0318 and any current or future product candidates could fail to obtain regulatory approvals, and any of our future product candidates could fail to obtain regulatory approvals, for many reasons, including the following:</w:t>
      </w:r>
    </w:p>
    <w:p>
      <w:pPr>
        <w:spacing w:after="0" w:line="54" w:lineRule="exact"/>
        <w:rPr>
          <w:sz w:val="20"/>
          <w:szCs w:val="20"/>
          <w:color w:val="auto"/>
        </w:rPr>
      </w:pPr>
    </w:p>
    <w:p>
      <w:pPr>
        <w:ind w:left="1020" w:right="3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as to the design or implementation of our clinical trials and may require additional data to support regulatory approval;</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a product candidate is safe and effective for its proposed indication(s) and, if necessary, that a product candidate and any active components thereof are safe and effective for the proposed indication;</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comparable authorities in other countries may disagree with our interpretation of data from clinical trials or preclinical studies and our request may require additional trials or studies to support marketing approval;</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avexitide, AMX0035, AMX0114, AMX0318 or any other current or future product candidates may not be sufficient to support the submission of an NDA or other submission to the FDA or other comparable foreign regulatory authority to obtain regulatory approval in the U.S. or elsewhere;</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clinical trial sites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avexitide, AMX0035 or any future product candidate we develop, which would significantly harm our business, results of operations and prospects. There is no assurance that the endpoints and trial designs used for the approval of currently approved drugs for the treatment of neurodegenerative diseases will be acceptable for future approvals, including for avexitide, AMX0035, AMX0114, AMX0318 and any current or future product candidates. Similarly, there is no assurance that the endpoints and trial designs for avexitide will be acceptable for its future approval. The FDA and other comparable foreign authorities have substantial discretion in the approval process and determining when or whether regulatory approval will be obtained for any product candidate that we develop. Even if we believe the data collected from past or future clinical trials of avexitide, AMX0035, AMX0114, AMX0318 or any other current or future product candidates are promising, such data may not be sufficient to support approval by the FDA or any other regulatory authority.</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FDA reviews an NDA to determine whether the product is safe and effective for its intended use(s), with the latter determination being made on the basis of substantial evidence. This finding can be substantiated based on two adequate and well-controlled studies, or in certain circumstances on a single, large, multicenter, adequate and well-controlled study that is very persuasive or from a single adequate and well-controlled study together with confirmatory evidence. The FDA may not agree that this standard is met. Accordingly, there can be no assurance that for avexitide, AMX0035 or any other current or future product candidates the FDA and other regulatory agencies will not require additional clinical trials beyond what we may plan to conduct.</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disruptions caused by any future public health crisis may increase the likelihood that we encounter difficulties or delays in initiating, screening, enrolling, conducting, or completing our ongoing and planned preclinical studies and clinical trials. Clinical site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right="40"/>
        <w:spacing w:after="0" w:line="254" w:lineRule="auto"/>
        <w:rPr>
          <w:sz w:val="20"/>
          <w:szCs w:val="20"/>
          <w:color w:val="auto"/>
        </w:rPr>
      </w:pPr>
      <w:r>
        <w:rPr>
          <w:rFonts w:ascii="Times New Roman" w:cs="Times New Roman" w:eastAsia="Times New Roman" w:hAnsi="Times New Roman"/>
          <w:sz w:val="18"/>
          <w:szCs w:val="18"/>
          <w:color w:val="auto"/>
        </w:rPr>
        <w:t>initiation and patient screening and enrollment may be delayed due to prioritization of hospital resources in the event of a future public health crisis. Investigators and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such future highly infectious or contagious diseases, could be limited,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any future outbreak of any highly infectious or contagious diseases. As a result of a future public health crisis, we may face delays in meeting our anticipated timelines for our ongoing and planned clinical trials.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regulatory authorities may subject our clinical or manufacturing operations to inspections, including routine surveillance, bioresearch monitoring and pre-approval inspections. In addition, even if we were to obtain approval, regulatory authorities may approve avexitide, AMX0035 or any other current or future product candidates for fewer or more limited indications than we request, may not approve the price we intend to charge for our products, may grant approval contingent on the performance of costly post-marketing preclinical studies and clinical trials, or may approve a product candidate with a label that does not include the labeling claims necessary or desirable for the successful commercialization of that product candidate. Any of the foregoing scenarios could materially harm the commercial prospects for avexitide, AMX0035 or any other current or future product candidates. Some of these efforts have manifested to date in the form of personnel measures that could impact the FDA’s ability to hire and retain key personnel, which could result in delays in or limitations on our ability to obtain guidance from the FDA on our product candidates in development and obtain the requisite regulatory approvals in the future.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remains general uncertainty regarding future activities involving the Trump administration. The Trump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of avexitide, AMX0035, AMX0114, AMX0318 or any other current or future product candidates.</w:t>
      </w:r>
    </w:p>
    <w:p>
      <w:pPr>
        <w:spacing w:after="0" w:line="15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To obtain regulatory approval to commercialize avexitide, AMX0035, AMX0114, AMX0318 and any other current or future product candidates, we must demonstrate through extensive preclinical studies and clinical trials that such product candidates are safe and effective in humans. Preclinical and clinical testing are expensive and can take many years to complete, and their outcome is inherently uncertain. Failure can occur at any time during the clinical trial process and our future clinical trial results may not be successful, which could impact our ability to obtain regulatory approvals for avexitide, AMX0035, AMX0114, AMX0318 or any other current or future product candidates.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avexitide, AMX0035, AMX0114, AMX0318 or any other current or future product candidates we develop, including:</w:t>
      </w:r>
    </w:p>
    <w:p>
      <w:pPr>
        <w:spacing w:after="0" w:line="68"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other reviewing bodies may not authorize us or our investigators to commence a clinical trial, or to conduct or continue a clinical trial at a prospective or specific trial site;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avexitide, AMX0035, AMX0114 and AMX0318 in an indication or any future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avexitide, AMX0035, AMX0114, AMX0318 or any other current or future product candidates or conducting clinical trials on our behalf, may fail to comply with regulatory requirements or meet their contractual obligations to us in a timely manner, or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 submitted to regulatory authorities or conduct additional studies to reflect changes in regulatory requirements or guidance, which we may be required to resubmit to an IRB and regulatory authorities for re-examination;</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events may occur during the course of a clinical trial and these events may result in the temporary suspension or termination of a clinical trial, or require urgent safety measures or restrictions to protect human subjects during the conduct of a clinical trial;</w:t>
      </w:r>
    </w:p>
    <w:p>
      <w:pPr>
        <w:spacing w:after="0" w:line="53"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 or the supply or quality of avexitide, AMX0035, AMX0114, AMX0318 or any other current or future product candidate or other materials necessary to conduct clinical trials of avexitide, AMX0035, AMX0114, AMX0318 or any other current or future product candidates may be insufficient, inadequate or not available at an acceptable cost, or we may experience interruptions in supply; and</w:t>
      </w:r>
    </w:p>
    <w:p>
      <w:pPr>
        <w:spacing w:after="0" w:line="75"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any other applicable foreign regulatory agencies to significantly change in a manner rendering our clinical data insufficient for approval.</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we submitted an IND application to the FDA for AMX0114. The FDA restricted dosing to an amount that is lower than our proposed starting dose of 12.5 mg and has requested additional information, which resulted in a clinical hold. Toxicology studies showed a greater than 10X safety margin at the starting dose of 12.5 mg based on the no observed adverse effect level determined by independent toxicology firms. In January 2025, we announced that the clinical hold had been lifted, however there can be no assurance that future clinical holds relating to any of our current or future product candidates will not be imposed.</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2024, we completed the acquisition of substantially all of the rights, title and interests in, to and under those assets and interests used by Eiger BioPharmaceuticals, Inc., or Eiger, in the development, manufacture and commercialization of avexitide. Negative or inconclusive impressions of the results from earlier clinical trials of avexitide performed by Eiger or any other clinical trial or preclinical studies in animals that we or Eiger, with respect to avexitide, have conducted, or the results from our earlier clinical trials of AMX0035 for the treatment of ALS or AD, could mandate repeated or additional preclinical studies or clinical trials and could delay marketing approvals or result in changes to or delays in preclinical studies or clinical trials of AMX0035 in other indications. We do not know whether any clinical trials that we may conduct will demonstrate adequate efficacy and safety to result in regulatory approval to market avexitide, AMX0035 for our intended indications or any future product candidate.</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of avexitide, AMX0035 for Wolfram syndrome or potential additional indications and to demonstrate the efficacy and safety of avexitide and AMX0035, including each component thereof, necessary to obtain regulatory approval to market avexitide and AMX0035, would significantly harm our business and ability to continue developing and marketing avexitide and AMX0035 for any indications. Our product candidate development costs will also increase if we experience delays in testing or obtaining and maintaining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or the need for additional data from our clinical trials also could shorten any periods during which we may have the exclusive right to commercialize avexitide, AMX0035 or any other current or future product candidates or allow our competitors to bring products to market before we do and impair our ability to successfully commercialize such product candidates, which may harm our business and results of operations. In addition, many of the factors that cause, or lead to, delays of clinical trials may ultimately lead to the denial of regulatory approval of avexitide, AMX0035 or any future product candidate.</w:t>
      </w:r>
    </w:p>
    <w:p>
      <w:pPr>
        <w:spacing w:after="0" w:line="19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or maintaining approvals for the commercialization of our current or any future product candidate we develop.</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in other countries. Failure to obtain marketing approval for a product candidate will prevent us from commercializing that product candidate in a given jurisdiction. Although we have invested substantial time and resources to date in pursuit of regulatory approval and toward potential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right="60"/>
        <w:spacing w:after="0" w:line="253" w:lineRule="auto"/>
        <w:rPr>
          <w:sz w:val="20"/>
          <w:szCs w:val="20"/>
          <w:color w:val="auto"/>
        </w:rPr>
      </w:pPr>
      <w:r>
        <w:rPr>
          <w:rFonts w:ascii="Times New Roman" w:cs="Times New Roman" w:eastAsia="Times New Roman" w:hAnsi="Times New Roman"/>
          <w:sz w:val="18"/>
          <w:szCs w:val="18"/>
          <w:color w:val="auto"/>
        </w:rPr>
        <w:t>commercialization, we have only received regulatory approval for AMX0035 (RELYVRIO) in the U.S. and marketing authorization with conditions for AMX0035 (ALBRIOZA) in Canada, which products we have since ceased marketing and selling from the market, and have not received any other regulatory approvals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in the U.S. and other foreign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during the review process that our data are insufficient for approval and require additional preclinical, clinical or other studies. In addition, varying interpretations of the data obtained from preclinical and clinical testing could delay, limit, or prevent marketing approval of, or limit the approved labeling for, a product candidate. Additionally, the FDA has discretion to refer an application for a novel drug or a drug that presents difficult questions of safety or efficacy to an advisory committee. For example, our approval of RELYVRIO in the U.S. underwent two Advisory Committee reviews, which delayed ultimate approval.</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maintain or obtain approval of avexitide, AMX0035 or of any product candidates we may develop, the commercial prospects for those product candidates, including for avexitide or AMX0035, may be harmed, and our ability to generate revenues will be materially impaired.</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early-stage clinical trials and preclinical studies may not be predictive of future results. Initial or preliminary data in our clinical trials may not be indicative of results obtained when these trials are completed or in later stage trials.</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data in clinical trials may not be indicative of results obtained when such trials are completed. There can be no assurance that any of our clinical trials will ultimately be successful or support further clinical development of avexitide, AMX0035, AMX0114, AMX0318 or any other current or future product candidates. For example, the clinical results seen in the CENTAUR trial were different than the results seen in our global Phase 3 PHOENIX clinical trial.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have in the past utilized and may in the future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avexitide, AMX0035 or any future product candidates when studied in a controlled environment with a placebo or active control.</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8"/>
          <w:szCs w:val="18"/>
          <w:color w:val="auto"/>
        </w:rPr>
        <w:t>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avexitide, AMX0035, AMX0114, AMX0318 or any other current or future product candidates if we are unable to locate and enroll a sufficient number of eligible patients to participate in these trials to such trial’s conclusion as required by the FDA or other comparable foreign regulatory authorities. Additionally, certain clinical trials for avexitide, AMX0035, AMX0114 and any other current 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 For example, the number of patients suffering from Wolfram syndrome and PBH, is small and, in some cases, has not been established with precision. If the actual number of patients with these diseases is smaller than we anticipate, we may encounter difficulties in enrolling patients in our clinical trials, thereby delaying or preventing development and approval of avexitide, AMX0035, AMX0114, AMX0318 or any other current or future product candidates. Even once enrolled, we may be unable to retain a sufficient number of patients to complete any of our trials. Neurodegenerative diseases have particular challenges, including significant mobility issues, morbidities and other complications that have historically made retention in clinical trials more challenging. In the past, we have had discontinuations in our clinical trials, including in our CENTAUR trial and our PHOENIX trial, and their open-label extensions. Discontinuations may occur in current or future trials and could result in delays of completion of our clinical trials and affect our ability to enroll additional patients in our clinical trials and impact the integrity of data from our clinical trials.</w:t>
      </w:r>
    </w:p>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of the patient population, the severity of the disease under investigation, the nature of the trial protocol, the existing body of safety and efficacy data for the product candidate, the number and nature of competing treatments and ongoing clinical trials of or expanded access to competing therapies for the same indication, the proximity of patients to clinical sites, the eligibility criteria for the trial, the ability to adequately monitor patients during a trial, clinicians’ and patients’ perceptions as to the potential advantages of the product candidate being studied, and the risk that patients will drop out of a trial before completing all site visits. There are limited patient pools from which to draw in order to complete our clinical trials in a timely and cost-effective manner, including due to the fact that the diseases we target are rare. Moreover, for example, the patient population for PBH may decrease due to the development of novel treatments for obesity, reducing the potential need for bariatric surgery. Furthermore, our efforts to build relationships with patient communities may not succeed, which could result in delays in patient enrollment in our clinical trials.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negative results we may report in clinical trials of avexitide, AMX0035, AMX0114 or any future product candidate may also make it difficult or impossible to recruit and retain patients in other clinical trials of that same product candidate. For example, the PHOENIX trial did not meet its primary or secondary endpoints, which may discourage patients from participating in clinical trials of AMX0035 in other indications. Delays or failures in planned patient enrollment or retention may result in increased costs, program delays or both, which could have a harmful effect on our ability to develop AMX0035 in Wolfram syndrome and additional indications, avexitide and any other current or future product candidates, or could render further development impossible. Further, if patients drop out of our clinical trials, miss scheduled doses or follow-up visits, or otherwise fail to follow clinical trial protocols, whether as a result of public health epidemics and related illness, the integrity of data from our clinical trials may be compromised or not accepted by the FDA or other regulatory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activities, such as manufacturing methods and formulation, are altered along the way in an effort to optimize processes and results. Any of these changes could cause avexitide, AMX0035 or any other current or future product candidates to perform differently and affect the results of ongoing clinical trials or other future clinical trials conducted with the materials manufactured using altered processes. For example, in seeking approval of AMX0035 in Europe, we submitted data supporting a different formulation of AMX0035 from the formulation evaluated in the CENTAUR trial. Changes to commercial formulations from those studied clinically could lead regulatory authorities to delay the approval of our marketing applications until we can demonstrate through additional clinical data that there is comparability in the bioavailability of the two</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3" w:name="page44"/>
    <w:bookmarkEnd w:id="43"/>
    <w:p>
      <w:pPr>
        <w:spacing w:after="0" w:line="258" w:lineRule="auto"/>
        <w:rPr>
          <w:sz w:val="20"/>
          <w:szCs w:val="20"/>
          <w:color w:val="auto"/>
        </w:rPr>
      </w:pPr>
      <w:r>
        <w:rPr>
          <w:rFonts w:ascii="Times New Roman" w:cs="Times New Roman" w:eastAsia="Times New Roman" w:hAnsi="Times New Roman"/>
          <w:sz w:val="18"/>
          <w:szCs w:val="18"/>
          <w:color w:val="auto"/>
        </w:rPr>
        <w:t>different formulations or may require us to revert to the prior formulation evaluated clinically. Should we have to conduct comparability testing to bridge earlier clinical data obtained from product candidates produced under earlier manufacturing methods or formulations with the planned commercial formulation, regulatory authorities may disagree on the interpretation of results from this testing. This could delay completion of clinical trials, require the repetition of one or more clinical trials, increase clinical trial costs, delay approval of avexitide, AMX0035 or any other current or future product candidates and jeopardize our ability to commence sales and generate revenue.</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require specific shipping, storage, handling and administration, which in some cases, may require cold-chain logistics and subject our product candidates to risk of loss or damage if failures occur.</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product candidates are sensitive to temperature, storage and handling conditions. They must be stored at very low temperatures in specialized freezers or specialized shipping containers until immediately prior to use. The handling and administration of the product, if approved, may need to be performed according to specific instructions and in some steps within specific time periods. Failure to correctly handle our product could negatively impact the efficacy and or safety of our product, or cause a loss of product. In addition, if approved, our products may need to be frozen using specialized equipment and maintained following specific procedures in order to be stored without damage in a cost-efficient manner and without degradation. We will need to scale-up a cost-effective and reliable cold-chain distribution and logistics network, which we may be unable to accomplish. Failure to effectively scale-up our cold-chain supply logistics, by us or third parties, could in the future lead to additional manufacturing costs and delays in our ability to supply required quantities for commercial supply. For these and other reasons, we may not be able to manufacture our current or future product candidates at commercial scale or in a cost-effective manner. Even if we are able to manufacture and distribute the product candidates, if our products require specific procedures to maintain and use them, we may be limited in commercial opportunity.</w:t>
      </w:r>
    </w:p>
    <w:p>
      <w:pPr>
        <w:spacing w:after="0" w:line="190"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Avexitide, AMX0035, AMX0114, AMX0318 or any future product candidate may cause undesirable side effects or have other properties that could delay or prevent its regulatory approval, limit the commercial profile of an approved label, or result in significant negative consequences following regulatory approval, if obtained.</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avexitide, AMX0035, AMX0114, AMX0318 or any future product candidate, could cause us or regulatory authorities to interrupt, delay or halt clinical trials and could result in a more restrictive label or the delay, denial or withdrawal of regulatory approval by the FDA or comparable foreign regulatory authorities. Results of our preclinical studies or clinical trials could reveal a high and unacceptable severity and prevalence of side effects or unexpected characteristics. In clinical trials to date of avexitide, avexitide was generally well-tolerated. The most common AEs were injection site bruising, headache, and nausea; these occurred more often with placebo than either avexitide dose. However, there can be no guarantee that we would observe a similar tolerability profile of avexitide in future clinical trials or for other indications.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clinical trials of AMX0035 to date, AMX0035 has been generally well-tolerated, with most common treatment-emergent AEs including diarrhea, abdominal pain, nausea, upper respiratory infection, constipation, headache, fatigue, proteinuria, and decreased appetite. In addition, it has been reported that patients experience a bad taste when taking AMX0035. In animal studies, administration of AMX0035 to rats throughout pregnancy and lactation resulted in increased offspring mortality at all doses tested, which were less than or similar to the clinical doses tested in our clinical trials. However, there can be no guarantee that we would observe a similar tolerability profile of AMX0035 in future clinical trials or for other indications.</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 stage testing are later found to cause undesirable or unexpected side effects that prevented further development of the compound. If unacceptable or severe side effects arise in the development of avexitide, AMX0035, AMX0114, AMX0318 or any other current or future product candidates, we, the FDA or comparable foreign regulatory authorities, the IRBs, or independent ethics committees at the institutions in which our trials are conducted, or the independent safety monitoring committee could suspend or terminate our clinical trials or regulatory authorities could order us to cease clinical trials or deny approval of avexitide, AMX0035, AMX0114, AMX0318 or any other current or future product candidates for any or all targeted indications. Treatment-emergent side effects that are deemed to be drug-related could also affect subject recruitment or the ability of enrolled subjects to complete the trial or result in potential product liability claims. Undesirable side effects in one of our clinical trials for AMX0035 in one indication or avexitide could adversely affect enrollment in clinical trials, regulatory approval and commercialization of AMX0035 in other indications or avexitide. Additionally, there may be negative findings regarding components of avexitide, AMX0035, AMX0114, AMX0318 or future product candidates by other parties. Any negative findings by third parties may impact the future approvability or labeling of avexitide, AMX0035, AMX0114, AMX0318 or other product candidates we may develop. In addition, side effects may not be appropriately recognized or managed by the treating medical staff. Inadequate training in recognizing or managing the potential side effects of avexitide, AMX0035, AMX0114, AMX0318 or any future product candidates could result in patient injury or death. Any of these occurrences may harm our business, financial condition and prospects significantly.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60"/>
        <w:spacing w:after="0" w:line="254" w:lineRule="auto"/>
        <w:rPr>
          <w:sz w:val="20"/>
          <w:szCs w:val="20"/>
          <w:color w:val="auto"/>
        </w:rPr>
      </w:pPr>
      <w:r>
        <w:rPr>
          <w:rFonts w:ascii="Times New Roman" w:cs="Times New Roman" w:eastAsia="Times New Roman" w:hAnsi="Times New Roman"/>
          <w:sz w:val="18"/>
          <w:szCs w:val="18"/>
          <w:color w:val="auto"/>
        </w:rPr>
        <w:t>Bitter taste was frequently observed in our clinical trials of AMX0035. While bitter taste, by itself, does not present a safety risk for patients, it may lead to higher levels of patient non-compliance, which could have the effect of reducing the observed efficacy of AMX0035 in our clinical trials, or limit its commercial adoption. AMX0035 is a combination of TURSO and PB. PB has been approved by the FDA and other regulatory authorities for the treatment of patients with certain urea cycle disorders and TURSO has been approved in Italy for diseases of cirrhotic liver disorders such as primary biliary cirrhosis. It is possible that one or more of the active moieties in AMX0035 has also been approved by the FDA or other regulatory authorities. Even if AMX0035 receives marketing approval and is commercialized in a jurisdiction, we would continue to be subject to the risks that the applicable regulatory authorities could revoke approval of PB or TURSO or any active moiety in AMX0035, if applicable, or that efficacy, manufacturing or supply issues could arise with PB or TURSO or any active moiety in AMX0035, if applicable. This could result in our own products being removed from the market or being less commercially successful.</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Finally, clinical trials of avexitide, AMX0035 and AMX0114 are conducted in carefully defined sets of patients who have agreed to enter into clinical trials. Consequently, it is possible that our clinical trials, or those of any future collaborator, may indicate an apparent positive effect of avexitide, AMX0035, AMX0114, AMX0318 or any other current or future product candidate that is greater than the actual positive effect, if any, or alternatively fail to identify undesirable side effects.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expanded access to AMX0035 could negatively affect our reputation and harm our business.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developing AMX0035 for the treatment of Wolfram syndrome and other potential future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AMX0035 or any of our future product candidates under an expanded access policy, our reputation may be negatively affected and our business may be harmed.</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the past, media attention to individual patients’ expanded access requests has resulted in the introduction and enactment of legislation at the local and national level, including “Right to Try” laws, such as the federal Right to Try Act of 2017, which are intended to allow patients access to unapproved therapies earlier than traditional EAPs. A possible consequence of both activism and legislation in this area may be the need for us to initiate an EAP beyond that which we have submitted to the FDA or to make AMX0035 or any future product candidates more widely available sooner than anticipated.</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EAPs or right to try access have life-threatening illnesses and have exhausted all other available therapies. The risk for suspected AEs in this patient population is high, which could have a negative impact on the safety profile of AMX0035 or future product candidates, which could cause significant delays or an inability to successfully commercialize AMX0035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AMX0035 or future product candidates, which could prompt adverse publicity or other disruptions related to current or potential participants in such programs.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avexitide or AMX0035 for additional indications or fail to discover, develop or acquire and commercialize other product candidates, we may be unable to grow our business and our ability to achieve our strategic objectives would be impaired.</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currently, and plan to continue to, develop and evaluate avexitide and evaluate AMX0035 in other indications other than ALS, to continue to develop other product candidates. We intend to evaluate internal opportunities from avexitide, AMX0035 or other potential product candidates, and also may choose to in-license or acquire other product candidates as well as commercial products to treat patients suffering from neurodegenerative diseases and CNS or other disorders with significant unmet medical needs and limited treatment options. For example, in July 2024, we completed the acquisition of substantially all of the rights, title and interests in, to and under those assets and interests used by Eiger in the development, manufacture and commercialization of avexitide.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Avexitide and any other potential product candidates have and will require additional, time-consuming development efforts prior to commercial sale, including preclinical studies, clinical trials and approval by the FDA and/or other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Research activities to identify product candidates require substantial technical, financial and human resources, whether or not any product candidates are ultimately identified. Our research activities or observation of third-party research activities may initially show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promise in identifying potential product candidates, yet fail to yield product candidates for clinical development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our potential for growth and achieving our strategic objectives may be impaired.</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product candidates or indications and modifications for which to investigate avexitide, AMX0035, AMX0114, or AMX0318 in the future. We may expend our limited resources to pursue particular product candidates or indications or formulations for avexitide, AMX0035, AMX0114, AMX0318 and fail to capitalize on such product candidates or indications or formulations of avexitide, AMX0035, AMX0114, or AMX0318 that may be more profitable or for which there is a greater likelihood of success.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focused on specific indications and modifications for avexitide, AMX0035, AMX0114, and AMX0318. As a result, we may fail to generate additional clinical development opportunities for such candidates for a number of reasons, including, that such candidates may in certain indications, on further study, be shown to have harmful side effects, limited to no efficacy, or other characteristics that suggest it is unlikely to receive marketing approval and achieve market acceptance in such additional indications. For example, in August 2025, we announced the decision to discontinue the ORION program of AMX0035 in adults living with PSP, based on data from the Phase 2b trial, where AMX0035 did not show differences compared to placebo on primary or secondary outcomes at Week 24.</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conducting a clinical trial of avexitide in PBH and may conduct others in other indications as well. As a result, we may forgo or delay pursuit of opportunities with other indications that we believe could have had greater commercial potential or likelihood of success. In addition, we are continuing to evaluate plans to explore the use of other product candidates in ALS and additional neurodegenerative diseases. However, we may focus on or pursue one or more of our target indications over other potential indications and product candidates and such development efforts may not be successful, which would cause us to delay the clinical development and approval of avexitide, AMX0035, AMX0114, AMX0318 and other product candidates. Furthermore, research activities to identify additional indications for avexitide, AMX0035, AMX0114, AMX0318 and other product candidates require substantial technical, financial, and human resources. We may not successfully develop these additional modifications for chemistry-related, stability-related, or other reasons. Our resource allocation decisions may cause us to fail to capitalize on viable commercial products or profitable market opportunities. Our spending on current and future research and development activities for specific indications or formulations of avexitide, AMX0035, AMX0114 or for AMX0318 or other product candidates may not yield any commercially viable products.</w:t>
      </w:r>
    </w:p>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Additionally, we may pursue in-licenses or acquisitions of development-stage assets or programs, which entails additional risk to us. For example, in July 2024, we completed the acquisition of substantially all of the rights, title and interests in, to and under those assets and interests used by Eiger in the development, manufacture and commercialization of avexitide. Identifying, selecting and acquiring promising product candidates requires substantial technical, financial, and human resources expertise and, once acquired, requires us to devote substantial resources. Efforts to do so may not result in the actual acquisition or license of a particular product candidate, and, if acquired, may results in extensive diligence and preparation efforts, each of which may potentially result in a diversion of our management’s time and the expenditure of our resources with no resulting benefit.</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avexitide or AMX0035 for our intended indications. If our competitors develop technologies or product candidates more rapidly than we do, or their technologies or product candidates are more effective or safer than ours, our ability to develop and successfully commercialize avexitide or AMX0035 may be adversely affected.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ind w:right="380"/>
        <w:spacing w:after="0" w:line="255" w:lineRule="auto"/>
        <w:rPr>
          <w:sz w:val="20"/>
          <w:szCs w:val="20"/>
          <w:color w:val="auto"/>
        </w:rPr>
      </w:pPr>
      <w:r>
        <w:rPr>
          <w:rFonts w:ascii="Times New Roman" w:cs="Times New Roman" w:eastAsia="Times New Roman" w:hAnsi="Times New Roman"/>
          <w:sz w:val="18"/>
          <w:szCs w:val="18"/>
          <w:color w:val="auto"/>
        </w:rPr>
        <w:t>The clinical and commercial landscape for the treatment of the diseases we are focused on is highly competitive and subject to rapid and significant technological change. We will face competition with respect to any future indications of avexitide, AMX0035 or other candidates that we may seek to develop or commercialize in the future, from major pharmaceutical companies, specialty pharmaceutical companies and biotechnology companies worldwide. There are also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avexitide, AMX0035 or any future product candidates obsolete or non-competitive before we can recover development and commercialization expenses. If avexitide or AMX0035 is approved for the indications we are currently pursuing, it could compete with a range of therapeutic treatments that are in development. In addition, our competitors may succeed in developing, acquiring or licensing technologies and products that are more effective or less costly than avexitide, AMX0035 or any future product candidates that we may develop, which could render such product candidates obsolete and noncompetitive.</w:t>
      </w:r>
    </w:p>
    <w:p>
      <w:pPr>
        <w:spacing w:after="0" w:line="18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Following any approval for avexitide, AMX0035 or any other future product candidate,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commercialize. Competitive products may make any products we commercialize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regulatory approval and commercialize products more rapidly than we do, which may impact future approvals or sales of any of our product candidates that receive regulatory approval. Following approval by the FDA or other foreign regulatory bodies for the commercial sale of avexitide, AMX0035 or any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activities.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avexitide, AMX0035 or any future product candidates in one jurisdiction does not mean that we will be successful in obtaining regulatory approval of those product candidates in other jurisdictions.</w:t>
      </w:r>
    </w:p>
    <w:p>
      <w:pPr>
        <w:spacing w:after="0" w:line="15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Obtaining and maintaining regulatory approval of avexitide, AMX0035 and any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procedures vary among jurisdictions and can involve requirements and administrative review periods different from, and greater than, those in the U.S. and other jurisdictions, including additional preclinical studies or clinical trials, as clinical trials conducted in one jurisdiction may not be accepted by regulatory authorities in other jurisdictions. In many jurisdictions outside the U.S., including Canada, and certain jurisdictions in the EU, in order for a medicinal product to be supplied within the national health insurance system, it must be approved for reimbursement. In some cases, the price that we intend to charge for our products is also subject to approval.</w:t>
      </w:r>
    </w:p>
    <w:p>
      <w:pPr>
        <w:spacing w:after="0" w:line="17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Regulatory authorities in jurisdictions outside of the U.S. have requirements for approval of product candidates with which we must comply prior to marketing in those jurisdictions and such regulatory requirements can vary widely from country to country. Obtaining other regulatory approvals and compliance with other regulatory requirements could result in significant delays, difficulties and costs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7" w:name="page48"/>
    <w:bookmarkEnd w:id="47"/>
    <w:p>
      <w:pPr>
        <w:ind w:right="20"/>
        <w:spacing w:after="0" w:line="258" w:lineRule="auto"/>
        <w:rPr>
          <w:sz w:val="20"/>
          <w:szCs w:val="20"/>
          <w:color w:val="auto"/>
        </w:rPr>
      </w:pPr>
      <w:r>
        <w:rPr>
          <w:rFonts w:ascii="Times New Roman" w:cs="Times New Roman" w:eastAsia="Times New Roman" w:hAnsi="Times New Roman"/>
          <w:sz w:val="18"/>
          <w:szCs w:val="18"/>
          <w:color w:val="auto"/>
        </w:rPr>
        <w:t>for us and could require additional preclinical studies or clinical trials, which could be costly and time-consuming and could delay or prevent the introduction of our products in certain countries. The foreign regulatory approval process involves all of the risks associated with FDA approval. We do not have experience in obtaining regulatory approval in international markets outside of Canada. If we fail to comply with the regulatory requirements in international markets and/or obtain and maintain applicable marketing approvals, our target market will be reduced and our ability to realize the full market potential of avexitide, AMX0035 or any future product candidates will be harmed.</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orphan drug designation for AMX0035 for the treatment of Wolfram syndrome and for avexitide for the treatment of hyperinsulinemic hypoglycemia (which includes PBH and congenital HI) in the U.S. and for congenital HI in the EU by the EMA, we may not be able to obtain or maintain the benefits associated with orphan drug status, including market exclusivity.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U.S., or a patient population of greater than 200,000 people in the U.S., but for which there is no reasonable expectation that the cost of developing the drug will be recovered from sales in the U.S. In the EU, an orphan designation may be granted in respect of products that are intended for the diagnosis, prevention or treatment of a life-threatening or chronically debilitating condition affecting no more than five in 10,000 people in the EU when the application is made. Additionally, designation is granted for products intended for the diagnosis, prevention or treatment of a life-threatening or chronically debilitating condition when, without incentives, it is unlikely that sales of the product in the EU would be sufficient to justify the necessary investment in developing the product. In either case, the applicant for orphan designation must also demonstrate that no satisfactory method of diagnosis, prevention, or treatment for the condition has been authorized (or, if such a method exists, the new product would be a significant benefit to those affected compared to the product available).</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received orphan drug status for AMX0035 for the treatment of patients with Wolfram syndrome in the U.S. in November 2020. Eiger received orphan drug status for avexitide for the treatment of hyperinsulinemic hypoglycemia (which includes PBH and congenital HI) in the U.S. in December 2016 and for congenital HI in the EU from the European Commission in November 2019. Generally, if a drug with an orphan drug designation subsequently receives the first marketing approval for the indication for which it has such designation, the drug may be entitled to a period of marketing exclusivity, which precludes the FDA or the other regulatory bodies from approving another marketing authorization application for the same drug in the same approved use or indication for that time period. Another drug may receive marketing approval prior to avexitide or AMX0035. The applicable period is seven years in the U.S. and ten years in the EU, which may be extended by six months and two years, respectively, in the case of product candidates that have complied with the respective regulatory agency’s agreed upon pediatric investigation plan. The exclusivity period in the EU may be reduced to six years if, at the end of the fifth year, it is demonstrated that a product no longer meets the criteria for orphan designation or if the product is sufficiently profitable so that market exclusivity is no longer justified. In the EU, during the ten-year period of orphan marketing exclusivity, neither the competent authorities of the EU Member States, the EMA, or the European Commission are permitted to accept applications or grant marketing authorization for similar medicinal products to the authorized orphan product. A “similar medicinal product” is defined as a medicinal product containing a similar active substance or substances as contained in an authorized orphan medicinal product, and which is intended for the same therapeutic indication. Legislation has been proposed by the European Commission and is progressing through the EU legislative process that, if adopted, could reduce the ten-year period of orphan marketing exclusivity for certain orphan medicinal products. Orphan drug exclusivity may be lost if the FDA or the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another drug for the same approved use or indication before the expiration of the seven-year (or ten-year in the EU) exclusivity period if the FDA or the EMA concludes that the later drug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orphan exclusivity. Even though the FDA has granted orphan drug designation to AMX0035 for the treatment of Wolfram syndrome, if we receive approval for AMX0035 for a modified or different indication, our current orphan designation may not provide us with exclusivity.</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Even if we obtain orphan drug exclusivity for avexitide or AMX0035, that exclusivity may not effectively protect us from competition because different drugs can be approved for the same approved use or indication before the expiration of the orphan drug exclusivity period. For example, even though AMX0035 is entitled to orphan drug exclusivity, that exclusivity may not prevent the approval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right="20"/>
        <w:spacing w:after="0" w:line="256" w:lineRule="auto"/>
        <w:rPr>
          <w:sz w:val="20"/>
          <w:szCs w:val="20"/>
          <w:color w:val="auto"/>
        </w:rPr>
      </w:pPr>
      <w:r>
        <w:rPr>
          <w:rFonts w:ascii="Times New Roman" w:cs="Times New Roman" w:eastAsia="Times New Roman" w:hAnsi="Times New Roman"/>
          <w:sz w:val="18"/>
          <w:szCs w:val="18"/>
          <w:color w:val="auto"/>
        </w:rPr>
        <w:t>TURSO by the FDA or other regulatory authorities as a monotherapy treatment for Wolfram syndrome if those regulatory agencies determine that TURSO is a different drug product from AMX0035. In addition, the regulatory authorities may find that this monotherapy treatment is clinically superior to our fixed dose product and approve it even if we are granted orphan drug exclusivity. U.S. lawmakers have also recently raised the possibility that regulatory or legislative changes might need to be made to the Orphan Drug Act to foster competition. This includes the introduction of legislation that, if adopted into law, would require us to demonstrate to the FDA that avexitide or AMX0035 would be economically unviable when facing competition to maintain our exclusivity.</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avexitide or AMX0035 for the treatment of additional indications. The incidence and prevalence of the target patient populations for these indications will be based on our estimates and third-party data. If the market opportunity for these target populations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U.S., or a patient population of greater than 200,000 people in the U.S., but for which there is no reasonable expectation that the cost of developing the drug will be recovered from sales in the U.S. If our incidence or prevalence estimates for future indications for which we may seek Orphan Drug Designation are incorrect, we may be unable to receive Orphan Drug Designation.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the FDA grants Orphan Drug Designation for avexitide or AMX0035 for other indications, exclusive marketing rights in the U.S.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Priority Review Designation for product candidates that we may develop, but we might not receive such designations, and Priority Review Designations may not lead to a faster development or regulatory review or approval process.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For example, we received priority review for AMX0035 for the treatment of ALS, and we may in the future request Priority Review Designation for any future product candidates, however, we cannot assume that any application for future indications of avexitide, AMX0035 or any other product candidate we may develop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standard FDA review and approval. For example, the FDA originally set the PDUFA date for AMX0035 for the treatment of ALS, for June 29, 2022, and then extended the review timeline for our NDA to September 2022. Receiving priority review from the FDA does not guarantee approval within the six-month review cycle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and may in the future seek Fast Track Designation by the FDA for a product candidate that we develop, and we may be unsuccessful.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the designation may not actually lead to a faster development or regulatory review or approval process.</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June 2025, we announced receipt of Fast Track Designation for AMX0114 for the treatment of ALS. We may in the future seek Fast Track Designation for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Avexitide has been granted Breakthrough Therapy Designation for PBH and congenital HI and we may seek Breakthrough Therapy Designation by the FDA for additional product candidates that we may develop, and we may be unsuccessful. If we are successful, the designation may not lead to a faster development or regulatory review or approval process, and it does not increase the likelihood that our product candidates will receive marketing approval, nor does such designation for avexitide guarantee a faster review process or marketing approval.</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Avexitide has been granted Breakthrough Therapy Designation for PBH and congenital HI and we may seek Breakthrough Therapy Designation for any additional product candidate that we may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such as avexitide,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has granted rare pediatric disease designation to avexitide for the treatment of congenital HI. However, a marketing application for avexitide or any other product candidate, if approved, may not meet the eligibility criteria for a priority review voucher.</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FDA has granted rare pediatric disease designation to avexitide for the treatment of congenital HI. Designation of a drug as a drug for a rare pediatric disease does not guarantee that an NDA for such drug will meet the eligibility criteria for a rare pediatric disease priority review voucher at the time the application is approved. Under the FDCA, we will need to request a rare pediatric disease priority review voucher in our original NDA for avexitide. The FDA may determine that an NDA for avexitide, if approved, does not meet the eligibility criteria for a priority review voucher, including for the following reasons:</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Congenital HI no longer meets the definition of a rare pediatric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contains an active ingredient that has been previously approved by the FDA;</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does not rely on clinical data derived from studies examining a pediatric population and dosages of the drug intended for that population (that is, if the NDA does not contain sufficient clinical data to allow for adequate labeling for use by the full range of affected pediatric patients);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is approved for a different adult indication than the rare pediatric disease for which avexitide is designated.</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current law, after September 30, 2029, the FDA may not award any rare pediatric disease priority review vouchers, although the FDA's authority to do so could be extended by Congress in the future.</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avexitide, AMX0035 or any other current or future product candidates.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use of avexitide, AMX0035 or any other current or future product candidates by us and any collaborators in clinical trials, and the prior sales of AMX0035 in the U.S. and Canada and continued use pursuant to the free drug program may expose us to liability claims. Product liability claims may be brought against us or our partners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avexitide, AMX0035 or any other current or future product candidates.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 including with respect to potential class action lawsuits;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avexitide, AMX0035 or any other current or future product candidates.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drug, and it is always possible that a drug, even after regulatory approval, may exhibit unforeseen side effects. If avexitide, AMX0035 or any other current or future product candidates was to cause adverse side effects during clinical trials or after approval, we may be exposed to substantial liabilities. Physicians and patients may not comply with any warnings that identify known potential adverse effects and patients who should not use avexitide, AMX0035 or any of our future product candidates. If any of our current or future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up to $10.0 million in the aggregate, including clinical trial liability, this insurance may not fully cover potential liabilities that we may incur. The cost of any product liability litigation or other proceeding, even if resolved in our favor, could be substantial. We may need to increase our insurance coverage as we commercialize avexitide or AMX0035 in the U.S. and other jurisdictions, if approved, or any other current or future product candidate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avexitide, AMX0035 or any other current or future product candidates, which could harm our business, financial condition, results of operations and prospects.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or any future collaborators, obtain and maintain regulatory approvals for avexitide, AMX0035 or any other current or future product candidate, the terms of approvals and ongoing regulation of our products may limit how we manufacture and market our products, which could impair our ability to generate revenue.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avexitide, AMX0035 or any other current or future product candidate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and other regulatory bodies’ requirements, including ensuring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our contract manufacturers, any future collaborators and their contract manufacturers could fail to conform to cGMPs and be subject to periodic unannounced inspections by the FDA and other regulatory bodies to monitor and ensure compliance with cGMPs. Despite our efforts to inspect and verify regulatory compliance, one or more of our third-party manufacturing vendors may be found on regulatory inspection by the FDA or other authorities to be not in compliance with cGMP regulations,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Accordingly, in any jurisdiction where we or any future collaborators, receive regulatory approval for avexitide, AMX0035 or one or more future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and any future collaborators, are not able to comply with post-approval regulatory requirements, we, and any future collaborators, could have the regulatory approvals for avexitide, AMX0035 or any other current or future products withdrawn by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120"/>
        <w:spacing w:after="0" w:line="266" w:lineRule="auto"/>
        <w:rPr>
          <w:sz w:val="20"/>
          <w:szCs w:val="20"/>
          <w:color w:val="auto"/>
        </w:rPr>
      </w:pPr>
      <w:r>
        <w:rPr>
          <w:rFonts w:ascii="Times New Roman" w:cs="Times New Roman" w:eastAsia="Times New Roman" w:hAnsi="Times New Roman"/>
          <w:sz w:val="18"/>
          <w:szCs w:val="18"/>
          <w:color w:val="auto"/>
        </w:rPr>
        <w:t>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expect to have in the future may preclude us from developing, manufacturing and selling certain products outside of the U.S. and will require us to develop and implement costly compliance programs.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including export control and trade sanctions laws,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 Additionally, recent policy proposals in the U.S., if enacted in the future, may make acceptance by the FDA or inclusion in a marketing application of foreign data more difficult or costly.</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successfully commercialize avexitide, AMX0035 or any other current or future product candidates, or such approval or commercialization may be delayed, and our business could be substantially harmed.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of any future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 Clinical trials involve multiple clinical sites, vendors and other third parties and we are dependent on these vendors to ensure appropriate study conduct, statistical analysis and randomization. Errors or deviations they make in any of these activities could impact the usefulness and interpretability of clinical trial results by regulatory authorities. For example, at the Advisory Committee meeting on March 30, 2022, the FDA noted a number of concerns that, in the FDA’s view, impacted the interpretability of the results from the CENTAUR trial. Clinical trials from time to time have deviations where a protocol or standard operating procedure is not perfectly carried out and where corrective actions are taken. While we may perceive these events as low risk, our perception of risk and appropriate corrective actions may differ from that of the regulators’ view. Deviations from protocols or standard operating procedures during studies could result in negative regulatory opinions and outcomes.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trials is conducted in accordance with the applicable protocol, legal and regulatory requirements and scientific standards. Moreover, the FDA and competent authorities of the EU Member States require us to comply with Good Clinical Practices, or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 If we or our third-party contractors fail to comply with applicable GCPs, the clinical data generated in our clinical trials may be deemed unreliable and the FDA or other regulatory body may require us to perform additional clinical trials before approving avexitide or AMX0035, including for additional indications, or any other current or future product candidates, which would delay the regulatory approval process. We cannot be certain that, upon inspection, the FDA or other regulatory body will determine that any of our clinical trials comply with GCPs. For example, our clinical trial sites and investigators have in the past and may in the future engage in protocol deviations which could impact the overall interpretability of the outcomes of our clinical trials. We are also required to register certain clinical trials and post the results of completed clinical trials on a government-sponsored database, such as ClinicalTrials.gov, within certain timeframes. Failure to do so can result in public notifications of noncompliance, civil monetary penalties, adverse publicity, and also prevent the non-compliant party from receiving future grant funds from the federal government.</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activities. These contractors may also have relationships with other commercial entities, including our competitors, for whom they may also be conducting clinical trials or other drug development activities, which could impede their ability to devote appropriate time to our clinical activities.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clinical data necessary for regulatory approvals for avexitide, AMX0035 or any other current or future product candidates. If that occurs, we will not be able to, or may be delayed in our efforts to, successfully commercialize avexitide, AMX0035 or any other current or future product candidates. In such an event, our financial results and the commercial prospects for avexitide, AMX0035 or any other current or future product candidates that we seek to develop could be harmed, our costs could increase and our ability to generate revenues could be delayed, impaired or foreclosed.</w:t>
      </w:r>
    </w:p>
    <w:p>
      <w:pPr>
        <w:spacing w:after="0" w:line="1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avexitide, AMX0035 or any other current or future product candidates or commercialization of any resulting products, producing additional losses and depriving us of potential product revenue.</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and maintain them on commercially reasonable terms, we may have to alter our development and future commercialization plans.</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advancement of avexitide, AMX0035, AMX0114, AMX0318 and any other current or future product candidates and development programs or activities, will require substantial additional cash to fund expenses. For some indications of avexitide, AMX0035, AMX0114, AMX0318 or other current or future product candidates, we may decide to collaborate with additional pharmaceutical and biotechnology companies with respect to development and potential commercialization. Likely collaborators may include large and mid-size pharmaceutical companies, regional and national pharmaceutical companies and biotechnology companies. In addition, if we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ind w:right="560"/>
        <w:spacing w:after="0" w:line="282" w:lineRule="auto"/>
        <w:rPr>
          <w:sz w:val="20"/>
          <w:szCs w:val="20"/>
          <w:color w:val="auto"/>
        </w:rPr>
      </w:pPr>
      <w:r>
        <w:rPr>
          <w:rFonts w:ascii="Times New Roman" w:cs="Times New Roman" w:eastAsia="Times New Roman" w:hAnsi="Times New Roman"/>
          <w:sz w:val="18"/>
          <w:szCs w:val="18"/>
          <w:color w:val="auto"/>
        </w:rPr>
        <w:t>are able to obtain regulatory approval for product candidates from foreign regulatory authorities, we may enter into collaborations with international biotechnology or pharmaceutical companies for the commercialization of such product candidates.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avexitide, AMX0035, AMX0114, AMX0318 or any other current or future product candidates or bring them to market and generate product revenue.</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or activities, delay its potential commercialization or reduce the scope of any sales or marketing activities, or increase our expenditures and undertake development or future commercialization activities at our own expense.</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enter into collaborations with third parties for the development and commercialization of avexitide, AMX0035, AMX0114, AMX0318 or any other current or future product candidates, and our prospects with respect to avexitide, AMX0035, AMX0114, AMX0318 and our other current or future product candidates will depend in significant part on the success of those collaborations.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rely on collaborations for the development and future commercialization of avexitide, AMX0035, AMX0114, AMX0318 and any other current or future product candidates. For example, we may utilize a variety of distribution, collaboration and other marketing arrangements with one or more third parties to facilitate commercialization of avexitide or AMX0035 or to identify novel drug candidates for neurodegenerative or other diseases. Our likely collaborators for any distribution, development, sales, marketing, licensing or broader collaboration arrangements include large and mid-size pharmaceutical companies, regional and national pharmaceutical companies and biotechnology companies. If we enter into such collaborations, we may have limited control over the amount and timing of resources that our collaborators dedicate to the development or commercialization of avexitide, AMX0035, AMX0114, AMX0318 or any other current or future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Collaborations involving avexitide, AMX0035, AMX0114, AMX0318 and any other current or future product candidates pose a number of risks, including the following:</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avexitide, AMX0035, AMX0114, AMX0318 or any future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avexitide, AMX0035, AMX0114, AMX0318 or any of our other current or future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left="1020" w:right="4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avexitide or AMX0035 in compliance with cGMP may increase the risk that we will not have sufficient cGMP-compliant quantities of avexitide or AMX0035 or necessary quantities of such materials on time or at an acceptable cost.</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avexitide or AMX0035, and we currently lack the resources and the capabilities to do so. As a result, we currently rely on third parties for the manufacture and supply of the active pharmaceutical ingredients, or APIs, in avexitide and AMX0035, and for the blending and packaging of avexitide and AMX0035 in accordance with applicable law, regulations and standards. Our current strategy is to outsource all manufacturing of avexitide and AMX0035 and any other current or future product candidates to third parties.</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currently engage third-party manufacturers to provide the APIs of avexitide and AMX0035 and for the final drug product formulation of avexitide and AMX0035 that is or will be being used in our clinical trials and for expanded access and commercial supply, as applicable, and we engage separate third parties for the blending and packaging of finished clinical materials. We must be able to demonstrate comparability of drug substance across suppliers along with stability data across suppliers. We currently rely on single manufacturers to supply each of our APIs. Although we believe that there are several potential alternative manufacturers who could manufacture each of the APIs in avexitide and AMX0035, we may incur added costs and delays in identifying and qualifying any such replacement. Moreover, the extent to which rising demand in certain APIs, geopolitical events, global health crises or economic policies, including tariffs, may impact our ability to procure sufficient supplies for the development of avexitide and AMX0035, and any other current or future products and product candidates will depend on whether the economic challenges caused by such events continue to impact the global economy and supply chains, among many other factors. For example, recent increased demand for GLP-1 and other peptide-based therapeutics has, and in the future could continue to, result in increased competition for our suppliers’ and manufacturers’ services and limited capacity, which could limit our access to, and increase our costs for, production and potentially harm our business and results of operations. There is no assurance that we will be able to obtain adequate third-party contract supply and/or manufacturing capacity for future clinical trials and commercialization, and may in the future need to make prioritization decisions about where our supply of peptide-based API will be distributed, which could potentially impact our commercial supply or commercialization efforts. We cannot be sure that single-source suppliers for the raw materials or components used in our product candidates and products will remain in business or that they will not be purchased by one of our competitors or another company that is not interested in continuing to produce our raw materials or components for our intended purpose. There is no assurance that we will be able to timely secure needed supply arrangements on satisfactory terms, or at all, to meet the clinical demands, the validation requirements for an NDA filing or the potential commercial demands. Our failure to secure these arrangements as needed could have a material adverse effect on our ability to complete the development of avexitide, AMX0035 or any other current or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avexitide and AMX0035, and the costs of manufacturing could be prohibitive.</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Following our announcement to begin the process to voluntarily withdraw RELYVRIO and ALBRIOZA from the market, we entered into negotiations with each of our third-party manufacturers to redefine our relationship going forward. These negotiations are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5" w:name="page56"/>
    <w:bookmarkEnd w:id="55"/>
    <w:p>
      <w:pPr>
        <w:ind w:right="1180"/>
        <w:spacing w:after="0" w:line="282" w:lineRule="auto"/>
        <w:rPr>
          <w:sz w:val="20"/>
          <w:szCs w:val="20"/>
          <w:color w:val="auto"/>
        </w:rPr>
      </w:pPr>
      <w:r>
        <w:rPr>
          <w:rFonts w:ascii="Times New Roman" w:cs="Times New Roman" w:eastAsia="Times New Roman" w:hAnsi="Times New Roman"/>
          <w:sz w:val="18"/>
          <w:szCs w:val="18"/>
          <w:color w:val="auto"/>
        </w:rPr>
        <w:t>ongoing and may result in irreparable damage to our relationship with one or more suppliers, making our further development and potential commercialization challenging.</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54" w:lineRule="exact"/>
        <w:rPr>
          <w:sz w:val="20"/>
          <w:szCs w:val="20"/>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including cGMPs, and reliance on third parties for manufacturing process development, regulatory compliance and quality assurance;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avexitide, AMX0035 or any other current or future product candidates or otherwise do not satisfactorily perform according to the terms of the agreement between us;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 or as a result of economic or political developments, including the ongoing conflicts in Ukraine and the Middle East and global economic instability;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a third-party, at a time that is costly or inconvenient to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we do not maintain our key manufacturing relationships, or if any of our contract manufacturers fail to perform their obligations, we may fail to find replacement manufacturers or develop our own manufacturing capabilities, which could delay or impair our ability to obtain regulatory approval for our products.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change in manufacturer may also involve changes in manufacturing procedures and processes, which could require that we conduct bridging studies between our prior clinical supply used in our clinical trials and that of any new manufacturer. In addition, we will need to verify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w:t>
      </w:r>
    </w:p>
    <w:p>
      <w:pPr>
        <w:spacing w:after="0" w:line="18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avexitide, AMX0035 or any other current or future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Furthermore, a contract manufacturer may possess or acquire technology related to the manufacture of avexitide, AMX0035 or any other current or future product candidate that such contract manufacturer owns independently. This would increase our reliance on such contract manufacturer or require us to obtain a license from such contract manufacturer in order to have another contract manufacturer manufacture avexitide, AMX0035 or any other current or future product candidates. If AMX0035 for any of our initial or potential additional indications, avexitide or any future product candidate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avexitide, AMX0035 or any other current or future product candidates. Consequently, we may not be able to reach agreement with third-party manufacturers on satisfactory terms, which could delay our commercialization.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avexitide, AMX0035 or any other current or future product candidates, operating restrictions and criminal prosecutions, any of which could significantly affect supplies of avexitide, AMX0035 or any other current or future product candidates. The facilities used by our contract manufacturers to manufacture avexitide, AMX0035 or any other current or future product candidates must be evaluated by the FDA and certain other foreign regulatory authorities. We do not control the manufacturing process of, and are completely dependent on, our contract manufacturing partners for compliance with cGMPs. If our contract manufacturers cannot successfully manufacture material that conforms to our specifications and the strict regulatory requirements of the FDA or others, we may not be able to secure and/or maintain regulatory approval for our product manufactured at these facilities. In addition, we have no control over the ability of our contract manufacturers to maintain adequate quality control, quality assurance and qualified personnel. If the FDA or other comparable foreign regulatory authority finds deficiencies or does not approve these facilities for the manufacture of avexitide, AMX0035 or any other current or future product candidates, or if 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right="80"/>
        <w:spacing w:after="0" w:line="254" w:lineRule="auto"/>
        <w:rPr>
          <w:sz w:val="20"/>
          <w:szCs w:val="20"/>
          <w:color w:val="auto"/>
        </w:rPr>
      </w:pPr>
      <w:r>
        <w:rPr>
          <w:rFonts w:ascii="Times New Roman" w:cs="Times New Roman" w:eastAsia="Times New Roman" w:hAnsi="Times New Roman"/>
          <w:sz w:val="18"/>
          <w:szCs w:val="18"/>
          <w:color w:val="auto"/>
        </w:rPr>
        <w:t>withdraws any such approval in the future, we may need to find alternative manufacturing facilities, which would significantly impact our ability to develop, obtain regulatory approval for or market avexitide, AMX0035 or any other current or future product candidates, if approved. Furthermore, if we are required to change contract manufacturers, we will be required to verify that the new contract manufacturer maintains facilities and procedures that comply with quality standards and with all applicable regulations, which could result in further costs and delays.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comparable foreign regulatory requirements could adversely affect our clinical research activities and our ability to develop avexitide, AMX0035 or any other current or future product candidates and market our products, if approved.</w:t>
      </w:r>
    </w:p>
    <w:p>
      <w:pPr>
        <w:spacing w:after="0" w:line="1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FDA and other foreign regulatory authorities require manufacturers to register manufacturing facilities. The FDA and corresponding foreign regulators also inspect these facilities to confirm compliance with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comparable foreign regulatory requirements could adversely affect our clinical research activities and our ability to develop avexitide, AMX0035 or any future product candidates and market our products following approval.</w:t>
      </w:r>
    </w:p>
    <w:p>
      <w:pPr>
        <w:spacing w:after="0" w:line="16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active ingredients from third parties to develop and commercialize avexitide, AMX0035 or a future product candidate, which could increase our development costs and delay our ability to commercialize such product candidate.</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Should we decide to use API in any of avexitide, AMX0035 or any other current or future product candidates that are proprietary to one or more third parties, we would need to maintain licenses to those active ingredients from those third parties. If we are unable to gain or continue to access rights to these active ingredients prior to conducting preclinical toxicology studies intended to support clinical trials, we may need to develop alternate product candidates from these programs by either accessing or developing alternate active ingredients, resulting in increased development costs and delays in commercialization of these product candidates. If we are unable to gain or maintain continued access rights to the desired active ingredients on commercially reasonable terms or develop suitable alternate active ingredients, we may not be able to commercialize product candidates from these programs.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avexitide, AMX0035 or Future Product Candidates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for avexitide for PBH, and congenital HI, for AMX0035 for Wolfram syndrome and other neurodegenerative diseases, and for any other product candidates we are currently developing or may in the future develop or acquire may be smaller than we expect.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historically focused our research and product development on treatments of neurodegenerative diseases, and recently expanded into other diseases, many of which are rare diseases with small addressable patient populations. We base our market opportunity estimates on a variety of factors, including our estimates of the number of people who have these diseases, the potential scope of our approved product labels, the subset of people with these diseases who have the potential to benefit from treatment with avexitide, AMX0035 or any other current or future product candidates, various pricing scenarios, and our understanding of reimbursement policies for rare diseases in particular countries. These estimates are based on many assumptions and may prove incorrect, and new studies may reduce the estimated incidence or prevalence of these diseases. Estimating market opportunities can be particularly challenging for rare indications, such as the ones we currently address, as epidemiological data is often more limited than for more prevalent indications and can require additional assumptions to assess potential patient populations. If we are unable to identify patients and successfully commercialize avexitide, AMX0035 or any other current or future product candidates with attractive market opportunities, our future product revenues may be smaller than anticipated, and our business may suffer.</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Patient identification efforts also influence the ability to address a patient population. If efforts in patient identification are unsuccessful or less impactful than anticipated, for instance, because of a lack of diagnostic initiatives, inadequate disease awareness among healthcare professionals, difficulties in identifying and accessing patients outside of larger treatment centers or otherwise, we may not address the entirety of the opportunity we are seeking. As a result, patients may be difficult to identify and access, the addressable patient population in the countries in which we are seeking authorization and elsewhere may turn out to be lower than expected, or patients may not be otherwise amenable to treatment with our products, all of which would adversely affect our business, financial condition, results of operations and prospects.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in the future to expand our sales, marketing, manufacturing and distribution capabilities or enter into agreements with third parties to market and sell avexitide, AMX0035 or other current or future product candidates for which we obtain marketing approval, we will be unable to generate any additional product revenue.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t>To successfully commercialize any products that may result from our development activities or that we may acquire, we would need to continue to expand our sales, marketing, pharmacovigilance, manufacturing and distribution capabilities, either on our own or with others. RELYVRIO/ALBRIOZA, formerly sold in Canada and the U.S. for the treatment of ALS before being voluntarily withdrawn from the market, was the first product that we commercialized and built a global marketing and sales team for. The development of our own marketing and distribution effort was expensive and time-consuming and any efforts to do so in connection with our other product candidates may be expensive and time-consuming and could delay any further product launches. Moreover, we cannot be certain that we will be able to develop this capability successfully again in the future, despite our experience. We may enter into collaborations regarding any approved product candidates with other entities to utilize their established marketing and distribution capabilities, however, we may be unable to enter into such agreements on favorable terms, if at all. If any future collaborators do not commit sufficient resources to commercialize avexitide, AMX0035 or any other current or future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may also face competition in our search for third parties to assist us with the sales and marketing efforts of avexitide, AMX0035 and any other current or future product candidates, if approved. Without an internal team or the support of a third-party to perform marketing and sales functions, we may be unable to compete successfully against these more established companies.</w:t>
      </w:r>
    </w:p>
    <w:p>
      <w:pPr>
        <w:spacing w:after="0" w:line="1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current or future product candidate of ours receives regulatory approval, it may fail to maintain the degree of market acceptance by physicians, patients, third-party payors and others in the medical community necessary for continued commercial success or to remain profitable.</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Even if avexitide, AMX0035 for the treatment of any indication or any other current or future product candidate of ours, is approved by the appropriate regulatory authorities for marketing and sale, it may nonetheless fail to gain sufficient market acceptance by physicians, patients, third-party payors and others in the medical community. Physicians may be reluctant to add avexitide, AMX0035 or another product to their patients’ treatment regimen, or may cease to add avexitide, AMX0035 or such product to their patients’ treatment regimen. Further, patients often acclimate to the treatment regime they are currently taking and do not want to add additional treatments unless their physicians recommend it. Further, patients may be unable to add avexitide, AMX0035 or such other product to their treatment regimen due to lack of coverage and adequate reimbursement. In addition, even if we are able to demonstrate our product candidates’ safety and efficacy to the FDA and other regulators, safety or efficacy concerns in the medical community may hinder market acceptance. Our ability to proactively educate health care professionals and patients may be limited based on the marketing restrictions in a given jurisdiction, specifically as they relate to the particular labeling approved by the applicable health authority.</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and any future product candidates may require significant resources, including management time and financial resources, and may not be successful. If avexitide, AMX0035 or any other current or future product candidate is approved but does not achieve an adequate level of market acceptance, we may not generate significant revenues and we may not remain profitable. The degree of market acceptance of avexitide, AMX0035 and any other future product candidates, if approved for commercial sale,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 and our ability to successfully publicize these advantages or highlight them in any marketing materials;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 or as a single agent or in combination;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tolerability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8" w:name="page59"/>
    <w:bookmarkEnd w:id="58"/>
    <w:p>
      <w:pPr>
        <w:ind w:right="80"/>
        <w:spacing w:after="0" w:line="282" w:lineRule="auto"/>
        <w:rPr>
          <w:sz w:val="20"/>
          <w:szCs w:val="20"/>
          <w:color w:val="auto"/>
        </w:rPr>
      </w:pPr>
      <w:r>
        <w:rPr>
          <w:rFonts w:ascii="Times New Roman" w:cs="Times New Roman" w:eastAsia="Times New Roman" w:hAnsi="Times New Roman"/>
          <w:sz w:val="18"/>
          <w:szCs w:val="18"/>
          <w:color w:val="auto"/>
        </w:rPr>
        <w:t>Any failure by avexitide, AMX0035 or any other current or future product candidate of ours that obtains regulatory approval to achieve market acceptance or commercial success would adversely affect our business prospects.</w:t>
      </w:r>
    </w:p>
    <w:p>
      <w:pPr>
        <w:spacing w:after="0" w:line="15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Avexitide, AMX0035 or any future product candidates for which we, or any future collaborators, obtain regulatory approval in the future will be subject to ongoing obligations and continued regulatory review, which may result in significant additional expense. If approved, avexitide, AMX0035 and any future product candidates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Avexitide, AMX0035 or any other current or future product candidates for which we, or any future collaborators, obtain regulatory approval, as well as the manufacturing processes, post-approval studies, labeling, advertising and promotional activities for such product, among other things, will be subject to ongoing requirements of and review by the FDA and other applicable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For certain commercial prescription drug products, manufacturers and other parties involved in the supply chain must also meet chain of distribution requirements and build electronic, interoperable systems for product tracking and tracing and notify the FDA of counterfeit, diverted, stolen and intentionally adulterated products or other products that are otherwise unfit for distribution in the U.S. We and our contract manufacturers will also be subject to user fees and periodic inspection by regulatory authorities to monitor compliance with these requirements and the terms of any product approval we may obtain. Even if regulatory approval of a product candidate is granted, the approval may be subject to limitations on the indications or uses for which the product may be marketed or to the conditions of approval, including the requirement in the U.S. to implement a Risk Evaluation and Mitigation Strategy, or REMS.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may also impose requirements for costly post-marketing studies or clinical trials and surveillance to monitor the safety or efficacy of a product. Additionally,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Regulatory authorities impose stringent restrictions on manufacturers’ communications regarding off-label use. However, companies generally may share truthful and not misleading information that is otherwise consistent with a product’s approved labeling. If we, or any future collaborators, do not market avexitide, AMX0035 or any of our other current or future product candidates for which we, or they, receive regulatory approval for only their approved indications, we, or they, may be subject to warnings or enforcement action for off-label marketing if it is alleged that we are doing so. Violation of laws and regulations relating to the promotion and advertising of prescription drugs may lead to investigations or allegations of violations of federal and state health care fraud and abuse laws and state consumer protection laws, including the False Claims Act and any comparable foreign laws. In the EU, the direct-to-consumer advertising of prescription-only medicinal products is prohibited. Violations of the rules governing the promotion of medicinal products in the EU could be penalized by administrative measures, fines and imprisonment. These laws may further limit or restrict the advertising and promotion of our products to the general public, if approved, and may also impose limitations on our promotional activities with health care professionals.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AEs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federal health care programs such as Medicare and Medicaid;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post-approval regulatory requirements, we could have the marketing approvals for avexitide, AMX0035 or any future approved products withdrawn or restricted by regulatory authorities, or we may voluntarily do so, and our ability to market avexitide, AMX0035 or any future approved products, to develop avexitide or AMX0035 in the U.S. or additional jurisdictions or for additional indications, and to develop and seek approval for additional product candidates could become limited, which could adversely affect our ability to achieve or sustain profitability. As a result, the cost of compliance with post-approval regulatory requirements may have a negative effect on our operating results and financial condition.</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coverage and reimbursement for avexitide, AMX0035 or any other current or future product candidates in new geographies, it could make it difficult for us to sell avexitide, AMX0035 or any other current or future product candidates profitably.</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avexitide, AMX0035 and any of our other current or future product candidates, if approved, depends on the availability of adequate coverage and reimbursement from third-party payors. Because avexitide, AMX0035 and any other current or future product candidates represent new approaches to the treatment of the diseases they target, we cannot be sure that coverage and reimbursement will be available for, or accurately estimate the potential revenue from, avexitide, AMX0035 and any other current or future product candidates or for any product that we may develop. If we are unable to obtain adequate levels of reimbursement, our ability to successfully market and sell any such product candidates will be adversely affected. The manner and level at which reimbursement is provided for services related to any current or future product candidates we may develop (e.g., for the administration of our product candidate to patients) is also important. Inadequate reimbursement for such services may lead to physician and payor resistance and adversely affect our ability to market or sell avexitide, AMX0035 or any other current or future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payors do not adopt such models, our business, financial condition, results of operations and prospects could be adversely affected. For additional information on coverage and reimbursement, see the section entitled “</w:t>
      </w:r>
      <w:r>
        <w:rPr>
          <w:rFonts w:ascii="Times New Roman" w:cs="Times New Roman" w:eastAsia="Times New Roman" w:hAnsi="Times New Roman"/>
          <w:sz w:val="18"/>
          <w:szCs w:val="18"/>
          <w:i w:val="1"/>
          <w:iCs w:val="1"/>
          <w:color w:val="auto"/>
        </w:rPr>
        <w:t>Business—Government Regulation—Coverage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in our 2025 Annual Report.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such as private health insurers and health maintenance organizations, are critical to new product acceptance. Government authorities and other third-party payors decide which drugs and treatments they will cover and the reimbursement amount. Coverage and reimbursement by a third-party payor may depend upon a number of factors.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 consuming and costly process that could require us to provide to each payor supporting scientific, clinical and cost-effectiveness data for the use of our products on a payor-by-payor basis, with no assurance that coverage and adequate reimbursement from third-party payors will be obtained. There is significant uncertainty related to the insurance coverage and reimbursement of newly approved products, which uncertainty may be heightened where the product is subject to post-marketing conditions or requirements to provide additional clinical data. In the U.S.,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Even if we obtain coverage for a given product, the resulting reimbursement payment rates might not be adequate for us to achieve or sustain profitability or may require co-payments that patients find unacceptably high. Future coverage and reimbursement may be subject to increased restrictions, such as prior authorization requirements, both in the U.S. and in international markets. Orphan drugs are typically placed on the highest cost-sharing tier and a substantial percentage are subject to prior authorization requirements. Reimbursement agencies in the EU may be more conservative than CMS.</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Canada, the EU and other countries has and will continue to put pressure on the pricing and usage of drug products such as avexitide, AMX0035 and any other current or future product candidates we may develop, if approved. We may also incur additional challenges when seeking reimbursement from public and private payers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20"/>
        <w:spacing w:after="0" w:line="254" w:lineRule="auto"/>
        <w:rPr>
          <w:sz w:val="20"/>
          <w:szCs w:val="20"/>
          <w:color w:val="auto"/>
        </w:rPr>
      </w:pPr>
      <w:r>
        <w:rPr>
          <w:rFonts w:ascii="Times New Roman" w:cs="Times New Roman" w:eastAsia="Times New Roman" w:hAnsi="Times New Roman"/>
          <w:sz w:val="18"/>
          <w:szCs w:val="18"/>
          <w:color w:val="auto"/>
        </w:rPr>
        <w:t>where avexitide, AMX0035 or any future product candidate has been approved subject to post-marketing conditions. Moreover,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U.S., the reimbursement for avexitide, AMX0035 and any other current or future product candidates we may develop may be reduced compared with the U.S. and may be insufficient to generate commercially reasonable revenues and profits.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entitled “</w:t>
      </w:r>
      <w:r>
        <w:rPr>
          <w:rFonts w:ascii="Times New Roman" w:cs="Times New Roman" w:eastAsia="Times New Roman" w:hAnsi="Times New Roman"/>
          <w:sz w:val="18"/>
          <w:szCs w:val="18"/>
          <w:i w:val="1"/>
          <w:iCs w:val="1"/>
          <w:color w:val="auto"/>
        </w:rPr>
        <w:t>Business – Government Regulation – Current and Future U.S. Healthcare Reform Legislation</w:t>
      </w:r>
      <w:r>
        <w:rPr>
          <w:rFonts w:ascii="Times New Roman" w:cs="Times New Roman" w:eastAsia="Times New Roman" w:hAnsi="Times New Roman"/>
          <w:sz w:val="18"/>
          <w:szCs w:val="18"/>
          <w:color w:val="auto"/>
        </w:rPr>
        <w:t>” in our 2025 Annual Report.</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or PDABs, and similar entities.</w:t>
      </w:r>
    </w:p>
    <w:p>
      <w:pPr>
        <w:spacing w:after="0" w:line="18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avexitide, AMX0035 or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that may be adopted in the future may result in additional reductions in Medicare and other healthcare funding and otherwise affect the prices we may obtain for avexitide, AMX0035 or any other current or future product candidates for which we may obtain regulatory approval or the frequency with which any such product candidate is prescribed or used. For example, the Inflation Reduction Act of 2022, or IRA, contains provisions that require companies to pay rebates to Medicare for certain drug prices that increase faster than inflation. In addition, any reduction in reimbursement from Medicare or other government programs may result in a similar reduction in payments from private payors. The implementation of cost containment measures or other healthcare reforms may prevent us from being able to generate revenue, sustain profitability or commercialize our product candidates.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effect of these reform efforts on our business and the healthcare industry in general is not yet known.</w:t>
      </w:r>
    </w:p>
    <w:p>
      <w:pPr>
        <w:spacing w:after="0" w:line="18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 its June 2024 decision in Loper Bright Enterprises v. Raimondo, or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the U.S. Supreme Court overturned the longstanding Chevron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 xml:space="preserve">Loper Bright </w:t>
      </w:r>
      <w:r>
        <w:rPr>
          <w:rFonts w:ascii="Times New Roman" w:cs="Times New Roman" w:eastAsia="Times New Roman" w:hAnsi="Times New Roman"/>
          <w:sz w:val="18"/>
          <w:szCs w:val="18"/>
          <w:color w:val="auto"/>
        </w:rPr>
        <w:t>decision could result in additional legal challenges to current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right="200"/>
        <w:spacing w:after="0" w:line="256" w:lineRule="auto"/>
        <w:rPr>
          <w:sz w:val="20"/>
          <w:szCs w:val="20"/>
          <w:color w:val="auto"/>
        </w:rPr>
      </w:pPr>
      <w:r>
        <w:rPr>
          <w:rFonts w:ascii="Times New Roman" w:cs="Times New Roman" w:eastAsia="Times New Roman" w:hAnsi="Times New Roman"/>
          <w:sz w:val="18"/>
          <w:szCs w:val="18"/>
          <w:color w:val="auto"/>
        </w:rPr>
        <w:t>regulations and guidance issued by federal agencies applicable to our operations, including those issued by the FDA. Congress may introduce and ultimately pass health care related legislation that could, among others, impact the drug approval process, modify the Medicare Drug Price Negotiation Program, expand the orphan drug exclusion in the IRA, and reduce Medicaid enrollment and funding.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product candidates.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While some of these and other proposed measures may require additional authorization to become effective, Congress and the Trump administration have each indicated that it will continue to seek new legislative and/or administrative measures to decrease pharmaceutical prices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may impose strict price controls, which may adversely affect our revenues, if any.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some countries, including Canada and certain Member States of the EU, the pricing of prescription drugs is, in part, subject to governmental control. Additional countries may adopt similar approaches to the pricing of prescription drugs. In such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In some countries, we may be required to conduct a clinical trial or other trials that compare the cost-effectiveness of avexitide, AMX0035 or any other current or future product candidates to other available therapies in order to obtain or maintain reimbursement or pricing approval, which is time-consuming and costly. We cannot be sure that such prices and reimbursement will be acceptable to us.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strategic partners and the potential profitability of avexitide, AMX0035 or any other current or future product candidates in those countries would be negatively affected.</w:t>
      </w:r>
    </w:p>
    <w:p>
      <w:pPr>
        <w:spacing w:after="0" w:line="18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patients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see the section entitled “</w:t>
      </w:r>
      <w:r>
        <w:rPr>
          <w:rFonts w:ascii="Times New Roman" w:cs="Times New Roman" w:eastAsia="Times New Roman" w:hAnsi="Times New Roman"/>
          <w:sz w:val="18"/>
          <w:szCs w:val="18"/>
          <w:i w:val="1"/>
          <w:iCs w:val="1"/>
          <w:color w:val="auto"/>
        </w:rPr>
        <w:t>Business – Government Regulation - Other U.S. Healthcare Laws</w:t>
      </w:r>
      <w:r>
        <w:rPr>
          <w:rFonts w:ascii="Times New Roman" w:cs="Times New Roman" w:eastAsia="Times New Roman" w:hAnsi="Times New Roman"/>
          <w:sz w:val="18"/>
          <w:szCs w:val="18"/>
          <w:color w:val="auto"/>
        </w:rPr>
        <w:t>” in our 2025 Annual Report.</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U.S., to help patients afford our approved product, we offer programs to assist them or support third-party organizations’ programs to assist patients,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The HHS Office of Inspector General, or OIG, has issued guidance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ind w:right="380"/>
        <w:spacing w:after="0" w:line="282" w:lineRule="auto"/>
        <w:rPr>
          <w:sz w:val="20"/>
          <w:szCs w:val="20"/>
          <w:color w:val="auto"/>
        </w:rPr>
      </w:pPr>
      <w:r>
        <w:rPr>
          <w:rFonts w:ascii="Times New Roman" w:cs="Times New Roman" w:eastAsia="Times New Roman" w:hAnsi="Times New Roman"/>
          <w:sz w:val="18"/>
          <w:szCs w:val="18"/>
          <w:color w:val="auto"/>
        </w:rPr>
        <w:t>could restrict or otherwise negatively affect these patient support programs, which could result in fewer patients using affected products, and therefore could have a material adverse effect on our sales, business, and financial condition.</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also become the subject of enhanced government and regulatory scrutiny. The OIG has established guidelines that suggest that it is lawful for pharmaceutical manufacturers to make donations to charitable organizations who provide co-pay assistance to Medicare patients. However, donations to patient assistance programs have received some negative publicity and have been the subject of multiple government enforcement actions, related to allegations regarding their misuse to promote branded pharmaceutical products over other less costly alternatives. Specifically, in recent years, there have been multiple settlements resulting out of government claims challenging the legality of third party patient assistance programs under a variety of federal and state laws. We have in the past and may, from time to time, make charitable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provision of charitable donations or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vendors or charitable foundations that may violate the laws or regulations of the jurisdictions in which we operate. Regardless of whether we have complied with the law, a government investigation, including of any business partners, vendors or charitable foundations, could impact our business practices, harm our reputation, divert the attention of management, increase our expenses, and reduce the availability of foundation support for our patients who need assistance.</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distribution of pharmaceutical products is also subject to additional requirements and regulations, including extensive recordkeeping, licensing, storage and security requirements intended to prevent the unauthorized sale of pharmaceutical products.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The scope and enforcement of each of these laws is uncertain and subject to rapid change in the current environment of healthcare reform.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successfully defend against any such actions that may be brought against us, our business may be impaired. If any of the physicians or other providers or entities with whom we expect to do business is found to not comply with applicable laws, they may be subject to significant criminal, civil or administrative sanctions, including exclusions from government-funded healthcare programs and imprisonment. If any of the above occur, it could adversely affect our ability to operate our business and our results of operations.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program, the U.S. Department of Veterans Affairs, Federal Supply Schedule, or FSS, pricing program, and the Tricare Retail Pharmacy program, which require us to disclose average manufacturer pricing, and, in the future may require us to report the average sales price for certain of our drugs to the Medicare program. Pricing and rebate calculations vary across products and programs, are complex, and are often subject to interpretation by us, governmental or regulatory agencies and the courts. Furthermore, regulatory and legislative changes, and judicial rulings relating to these programs and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For example,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increase our costs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Additionally, our agreement to participate in the 340B program or our Medicaid drug rebate agreement could be terminated, in which case federal payments may not be available under Medicaid or Medicare Part D for our covered outpatient drugs. Additionally, if we overcharge the government in connection with our arrangements with FSS or Tricare Retail Pharmacy,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 Additionally, certain pharmaceutical manufacturers are involved in ongoing litigation regarding contract pharmacy arrangements under the 340B program. The outcome of this and other judicial proceedings on the 340B program and the potential impact on the way in which manufacturers extend discounts to covered entities through contract pharmacies under the 340B program remain uncertain.</w:t>
      </w:r>
    </w:p>
    <w:p>
      <w:pPr>
        <w:spacing w:after="0" w:line="18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information processing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 General Data Protection Regulation, or the GDPR, and similarly, processing of personal data regarding individuals in the United Kingdom, or the UK, including personal health data, is subject to the UK General Data Protection Regulation and the UK Data Protection Act 2018, or, collectively the UK GDPR, and together with the EU GDPR, the GDPR. The GDPR is wide-ranging in scope and imposes numerous requirements on companies that process personal data, including requirements relating to processing health and other sensitive data, obtaining the consent of the individuals to whom the personal data relates, providing detailed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EEA/UK that are not considered by the European Commission and the UK government as providing “adequate” protection to personal data, including the U.S., and, as a result, increases the scrutiny that clinical trial sites located in the EEA should apply to transfers of personal data from such sites to countries that are considered to lack an adequate level of data protection, such as the U.S. Such transfers of personal data outside of the EEA and UK are prohibited unless a valid GDPR transfer mechanism (for example, the European Commission approved Standard Contractual Clauses, or SCCs,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 Any inability to transfer personal data from the EEA and UK to the United States in compliance with data protection laws may impede our ability to conduct trials and may adversely affect our business and financial position. The GDPR also permits data protection authorities to require the destruction of improperly gathered or used personal information and or impose substantial fines for violations of the GDPR, which can be up to four percent of global revenues or €20 million (£17.5 million under the UK GDPR), whichever is greater and it also confers a private right of action on data subjects and consumer associations to lodge complaints with supervisory authorities, seek judicial remedies, and obtain compensation for damages resulting from violations of the GDPR. Although the UK is regarded as a third country under the EU GDPR, the European Commission has now issued a decision recognizing the UK as providing adequate protection under the EU GDPR, or Adequacy Decision, and, therefore, transfers of personal data originating in the EEA to the UK remain unrestricted. Although the EU GDPR and the UK GDPR currently impose substantially similar obligations, it is possible that over time the UK GDPR could become less aligned with the EU GDPR. For example, the UK Data (Use and Access) Act 2025, which supplements the UK GDPR, has recently come into force and introduces certain provisions that diverge from the EU GDPR. Following the entry into force of the UK Data (Use and Access) Act 2025, the European Commission renewed the EU–UK adequacy decision for another six years, meaning the UK’s data protection framework is still considered to provide “essentially equivalent” safeguards to the EU’s GDPR. While this renewal reduces immediate adequacy concerns, future divergence remains a possibility. In addition, EU member states have adopted national</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right="120"/>
        <w:spacing w:after="0" w:line="258" w:lineRule="auto"/>
        <w:rPr>
          <w:sz w:val="20"/>
          <w:szCs w:val="20"/>
          <w:color w:val="auto"/>
        </w:rPr>
      </w:pPr>
      <w:r>
        <w:rPr>
          <w:rFonts w:ascii="Times New Roman" w:cs="Times New Roman" w:eastAsia="Times New Roman" w:hAnsi="Times New Roman"/>
          <w:sz w:val="18"/>
          <w:szCs w:val="18"/>
          <w:color w:val="auto"/>
        </w:rPr>
        <w:t>laws to supplement the EU GDPR, which may partially deviate from the EU GDPR, and the competent authorities in the EU Member States may interpret EU GDPR obligations slightly differently from country to country, such that we do not expect to operate in a uniform legal landscape in the EEA with respect to data protection regulations. Further divergence between the EU GDPR and UK GDPR would create additional regulatory challenges increasing legal risk, uncertainty, complexity and cost to the handling of European personal data and our privacy and data security compliance programs. This may require us to implement different compliance measures for the UK and EEA.</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Similar legal requirements are either in place or are being proposed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are all aggressive in reviewing consumers’ privacy and data security protections. New laws also are being considered at both the state and federal levels. For example, the California Consumer Privacy Act— which went into effect on January 1, 2020 and which was recently amended by the California Privacy Rights Act —is creating similar risks and obligations as those created by GDPR. Though the Act does exempt certain information collected as part of a clinical trial subject to the Federal Policy for the Protection of Human Subjects, or the Common Rule, it does apply to other personal information that we may otherwise handle, such as personal information collected in a business to business context and personal information collected from employees, applicants and retirees residing in California. Similar broad consumer privacy laws have already been passed in numerous states, and laws in Virginia, Colorado and Connecticut already have entered into force. In addition, bills for broad consumer privacy laws are being considered in numerous other states and at the federal level.</w:t>
      </w:r>
    </w:p>
    <w:p>
      <w:pPr>
        <w:spacing w:after="0" w:line="19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Compliance with the above requirements and any other data privacy and data security laws and regulations is a rigorous and time-intensive process and requires significant resources and an ongoing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including artificial intelligence, presents risks and challenges that can impact our business including by posing cybersecurity and other risks to our confidential information, proprietary information, and personal data.</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use solutions that draw controversy due to perceived or actual negative societal impact, we may experience brand or reputational harm, competitive harm or legal liability.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ind w:right="120"/>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and use of AI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Europe began implementing its EU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AI systems, particularly those considered as “high risk,”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we will need to meet various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vendors may incorporate AI tools into their offerings, and the providers of these AI tools may not meet existing or rapidly evolving regulatory or industry standards, including with respect to privacy and data protection. Further, bad actors around the world use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 If we, our vendors, or our third-party partners experience an actual or perceived breach or privacy or security incident because of the use of AI tools, we may lose valuable intellectual property and confidential information and our reputation and the public perception of the effectiveness of our security measures could be harmed. Any of these outcomes could result in the loss of valuable property and information, and adversely impact our business.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on our ability to protect our intellectual property and proprietary technology.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rights protection through patents, trademarks and trade secrets in the U.S. and other countries with respect to our proprietary product candidates, avexitide, AMX0035, AMX0114, and any future proprietary product candidates. If we do not adequately protect our intellectual property rights, competitors may be able to erode, negate or preempt any competitive advantage we may have, which could harm our business and ability to sustain profitability. To protect our proprietary position, we have filed patent applications and may file other patent applications in the U.S. or abroad related to AMX0035, AMX0114, or any other current or future product candidates that are important to our business; we may also license or purchase patents or patent applications filed by others. With respect to protection of our intellectual property rights in avexitide, our acquisition of that product candidate from Eiger includes acquisition of all of Eiger’s owned and co-owned patents and applications directed to avexitide, as well as assuming Eiger’s licenses to patents and applications directed to avexitide and owned and co-owned by other entities. The patent application process is expensive and time-consuming. We may not be able to file and prosecute all necessary or desirable patent applications at a reasonable cost or in a timely manner.</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therapeutics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compounds, formulations or methods or by claiming subject matter that could dominate our patent position. In addition, the laws of foreign countries may not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0"/>
        <w:spacing w:after="0" w:line="254" w:lineRule="auto"/>
        <w:rPr>
          <w:sz w:val="20"/>
          <w:szCs w:val="20"/>
          <w:color w:val="auto"/>
        </w:rPr>
      </w:pPr>
      <w:r>
        <w:rPr>
          <w:rFonts w:ascii="Times New Roman" w:cs="Times New Roman" w:eastAsia="Times New Roman" w:hAnsi="Times New Roman"/>
          <w:sz w:val="18"/>
          <w:szCs w:val="18"/>
          <w:color w:val="auto"/>
        </w:rPr>
        <w:t>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portfolio may not provide us with adequate and continuing patent protection sufficient to exclude others from commercializing products similar to avexitide, AMX0035, AMX0114 or any other current or future product candidates. In the event that an alternative combination of AMX0035, or TURSO as a single drug product, is developed and approved for use in indications for which we may seek approval and falls outside the scope of our patent claims, the marketability and commercial success of AMX0035 could be materially harmed.</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owned patents and pending patent applications, if issued, may not provide us with any meaningful protection or prevent competitors from designing around our patent claims to circumvent our patents by developing similar or alternative therapeutics in a non-infringing manner. For example, a third party may develop a competitive therapy that provides benefits similar to our product candidate but falls outside the scope of our patent protection or license rights. If the patent protection provided by the patent and patent applications we hold or pursue with respect to avexitide, AMX0035, AMX0114 or any other current or future product candidates is not sufficiently broad to impede such competition, our ability to successfully commercialize our product candidate could be negatively affected, which would harm our business.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any current or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 or patent applications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carries uncertainty. In addition, the determination of patent rights with respect to pharmaceutical compounds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not published until 18 months after filing, or in some cases not at all. Therefore, we cannot be certain that we were the first to make the inventions claimed in our patent or pending patent applications, or that we were the first to file for patent protection of such inventions. If third parties have filed prior patent applications on inventions claimed in our patents or applications that were filed on or before March 15, 2013, an interference proceeding in the U.S. can be initiated by such third parties to determine who was the first to invent any of the subject matter covered by the patent claims of our applications. If third parties have filed such prior applications after March 15, 2013, a derivation proceeding in the U.S. can be initiated by such third parties to determine whether our invention was derived from theirs.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may be challenged in the courts or patent offices in the U.S. and abroad. Also, while we believe that we have disclosed all potentially relevant prior art relating to our patents and patent applications, there is no assurance that we have found all such prior art or disclosed it in every relevant jurisdiction. Publications of discoveries in the scientific literature often lag behind the actual discoveries, and patent applications in the U.S. and other jurisdictions are typically not published until 18 months after filing or, in some cases, not at all.</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Therefore, we cannot know with certainty whether we were the first to make the inventions claimed in our patents or pending patent applications,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 Patent and Trademark Office, or USPTO, or to other patent offices around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right="60"/>
        <w:spacing w:after="0" w:line="255" w:lineRule="auto"/>
        <w:rPr>
          <w:sz w:val="20"/>
          <w:szCs w:val="20"/>
          <w:color w:val="auto"/>
        </w:rPr>
      </w:pPr>
      <w:r>
        <w:rPr>
          <w:rFonts w:ascii="Times New Roman" w:cs="Times New Roman" w:eastAsia="Times New Roman" w:hAnsi="Times New Roman"/>
          <w:sz w:val="18"/>
          <w:szCs w:val="18"/>
          <w:color w:val="auto"/>
        </w:rPr>
        <w:t>the world. Alternately or additionally, we may become involved in post-grant review procedures, oppositions, derivation proceedings, ex parte reexaminations, inter partes review, supplemental examinations, or interference proceedings or challenges in district court, in the U.S.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jurisdictions covering significant commercial markets, such as the European Patent Office, or EPO, China and Japan, restrict the patentability of methods of treatment of the human body more than U.S. law does. If these developments were to occur, they could have a material adverse effect on our ability to generate revenue.</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future development partners will be successful in protecting avexitide, AMX0035, AMX0114, or any other current or future product candidates by obtaining and defending patents. These risks and uncertainties include the following:</w:t>
      </w:r>
    </w:p>
    <w:p>
      <w:pPr>
        <w:spacing w:after="0" w:line="68" w:lineRule="exact"/>
        <w:rPr>
          <w:sz w:val="20"/>
          <w:szCs w:val="20"/>
          <w:color w:val="auto"/>
        </w:rPr>
      </w:pPr>
    </w:p>
    <w:p>
      <w:pPr>
        <w:ind w:left="1020" w:right="2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avexitide, AMX0035 or AMX0114;</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U.S. for disease treatments that prove successful, as a matter of public policy regarding worldwide health concerns;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have patent laws less favorable to patentees than those upheld by U.S. courts, allowing foreign competitors a better opportunity to create, develop and market competing product candidates;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or seek to market competing products by submitting NDAs under 505(b)(2) of the FDCA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and proprietary, unpatented know-how. Although we have taken steps to protect our trade secrets and unpatented know-how, including entering into confidentiality agreements with third parties, and confidential information and invention assignment agreements with employees, consultants, collaborators, vendors, and advisors, we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We may not be able to prevent the unauthorized disclosure or use of our technical knowledge or trade secrets by consultants, collaborators, vendors, advisors, former employees and current employees.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or proprietary know-how, our business may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for our product candidates, avexitide, AMX0035 and AMX0114, as well as on successfully defending these patents against potential third-party challenges. Our ability to protect our product candidate from unauthorized making, using, selling, offering to sell or importing by third parties is dependent on the extent to which we have rights under valid and enforceable patents that cover these activities.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of the requirements for patentability is a subjective determination based on the application of law and jurisprudence. The ultimate determination by the USPTO or by a court or other trier of fact in the U.S., or corresponding foreign national patent offices or courts, on whether a claim meets all requirements of patentability cannot be assured. Accordingly, we cannot predict the breadth of claims that may be allowed or enforced in our owned patents or patent applications.</w:t>
      </w:r>
    </w:p>
    <w:p>
      <w:pPr>
        <w:spacing w:after="0" w:line="19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patents and patent applications in the U.S. or foreign jurisdictions. Any such challenge, if successful, could limit patent protection for our products and current or future product candidates and/or materially harm our business.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challenges during litigation, third parties can challenge the validity of our patents in the U.S. using post-grant review and inter partes review proceedings, which some third parties have been using to cause the cancellation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EU, third parties can challenge the validity of our patents by filing an Opposition before the EPO. An adverse determination by the Opposition Board can result in the narrowing or invalidation of a European patent. If any of our European patents are challenged by a third party in such an opposition proceeding, there is no guarantee that we will be successful in defending the patent, which may result in a loss of the challenged patent right to us.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ind w:left="1020" w:right="3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data to support full patent applications that protect the entire breadth of developments in one or more of our programs;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pending applications issue as patents, they may be challenged by third parties as invalid or unenforceable under U.S. or foreign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commercialize avexitide, AMX0035 or AMX0114 before our relevant patents expire;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make the inventions covered by each of our patents and pending patent applications;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or product candidates that are separately patentable.</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extent that we are unable to obtain and maintain patent protection for avexitide, AMX0035, or AMX0114 or any other current or future product candidates or in the event that such patent protection expires, it may no longer be cost-effective to extend our portfolio by pursuing additional development of a product or product candidate for follow-on indications.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patents, we also may rely on trade secrets to protect our proprietary product candidate, especially where we do not believe patent protection is appropriate or obtainable. Trade secrets are difficult to protect. We seek to protect our confidential proprietary information, in part, by confidentiality agreements and invention assignment agreements with our employees, consultants, scientific advisors, contractors and collaborators. These agreements are designed to protect our proprietary information.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our employees, consultants, contractors, outside scientific collaborators and other advisers may unintentionally or willfully disclose our information to competitors. Enforcing a claim that a third-party entity illegally obtained and is using any of our trade secrets is expensive and time-consuming, and the outcome is unpredictable, and we may not be able to obtain adequate remedies for such breaches. We also seek to preserve the integrity and confidentiality of our confidential proprietary information by maintaining physical security of our premises and physical and electronic security of our IT systems, but it is possible that these security measures could be breached. In addition, courts outside the U.S. are sometimes less willing to protect trade secrets. Moreover, our competitors may independently develop equivalent knowledge, methods and know-how. Notably, proprietary technology protected by a trade secret does not preempt the patenting of independently developed equivalent technology, even if such equivalent technology is invented subsequent to the technology protected by a trade secret. If any of our confidential proprietary information were to be lawfully obtained or independently developed by a competitor, we would have no right to prevent such competitor from using that technology or information to compete with us, which could harm our competitive position.</w:t>
      </w:r>
    </w:p>
    <w:p>
      <w:pPr>
        <w:spacing w:after="0" w:line="1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and market exclusivities, if obtained, may be inadequate to protect our competitive position on our products for an adequate amount of time.</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80"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U.S.,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PTE is limited to the approved indication (or any additional indications approved during the period of extension). We anticipate applying for PTE in the U.S. Similar extensions may be available in other countries where we are prosecuting patents and we likewise anticipate applying for such extensions.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20"/>
        <w:spacing w:after="0" w:line="255" w:lineRule="auto"/>
        <w:rPr>
          <w:sz w:val="20"/>
          <w:szCs w:val="20"/>
          <w:color w:val="auto"/>
        </w:rPr>
      </w:pPr>
      <w:r>
        <w:rPr>
          <w:rFonts w:ascii="Times New Roman" w:cs="Times New Roman" w:eastAsia="Times New Roman" w:hAnsi="Times New Roman"/>
          <w:sz w:val="18"/>
          <w:szCs w:val="18"/>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or failure to otherwise satisfy any of the numerous applicable requirements. Moreover,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market exclusivities may be available for our product candidates and indications. If any product we develop does not receive five years of NCE exclusivity, the FDA may approve generic versions of such product three years after its date of approval, subject to the requirement that the ANDA applicant certifies to the invalidity or non-infringement of any patents listed for our products in the Orange Book. If an infringement suit is timely filed by the NDA or patent holder, the FDA cannot finally approve the ANDA for 30 months unless a court decision in favor of the generic manufacturer is issued earlier. Three-year exclusivity is given to a drug if it contains an active moiety that has previously been approved, and the NDA includes reports of one or more new clinical investigations, other than bioavailability or bioequivalence studies, that were conducted by or for the applicant and are determined by the FDA to be essential to the approval of the NDA. This form of data exclusivity is known as New Clinical Investigation, or NCI, exclusivity. If avexitide is approved for future uses and, if AMX0035 is approved for future uses, such as Wolfram syndrome, or if other current and future candidates, such as AMX0114, are approved with only NCI exclusivity, generic manufacturers may file their ANDAs anytime following approval of avexitide, AMX0035, or AMX0114 and seek to launch their generic products following the expiration of the three year market exclusivity period, even if we still have patent protection for our product.</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in the U.S., the FDCA provides a period of seven years of orphan drug exclusivity for drugs that treat small patient populations less than 200,000 patients or for which there are more than 200,000 patients but there is no reasonable expectation that the cost of developing and making the drug for such disease or condition will be recovered from sales in the U.S. of such drug.</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(including both small molecules and biological medicinal products), sometimes referred to as new active substances, or NAS,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until the expiration of the market exclusivity period. This 10-year market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a marketing authorization based on an application with a complete and independent data package of pharmaceutical tests, preclinical tests and clinical trials. The current orphan medicines regime in the EU entitles an orphan medicine to a 10-year period of market exclusivity, which can be extended to 12 years if the sponsor complies with an agreed upon paediatric investigation plan. However, the European Commission introduced a legislative proposal in April 2023 that, if implemented, could reduce the current exclusivity period for certain orphan medicines.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Competition that avexitide, AMX0035, AMX0114 or any future products, if approved, may face from generic versions of such products could negatively impact our future revenue, profitability and cash flows and substantially limit our ability to obtain a return on our investments in those product candidates.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interpretation of patent law in the U.S. and other jurisdictions could diminish the value of patents in general, thereby impairing our ability to protect our products.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 Patent and Trademark Office, and across the various federal courts, including the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the legal landscape in the U.S. has created uncertainty with respect to the value of patents. Depending on any actions by Congress, and future decisions by the lower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1" w:name="page72"/>
    <w:bookmarkEnd w:id="71"/>
    <w:p>
      <w:pPr>
        <w:ind w:right="80"/>
        <w:spacing w:after="0" w:line="282" w:lineRule="auto"/>
        <w:rPr>
          <w:sz w:val="20"/>
          <w:szCs w:val="20"/>
          <w:color w:val="auto"/>
        </w:rPr>
      </w:pPr>
      <w:r>
        <w:rPr>
          <w:rFonts w:ascii="Times New Roman" w:cs="Times New Roman" w:eastAsia="Times New Roman" w:hAnsi="Times New Roman"/>
          <w:sz w:val="18"/>
          <w:szCs w:val="18"/>
          <w:color w:val="auto"/>
        </w:rPr>
        <w:t>federal courts and the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Filing, prosecuting, enforcing and defending patents on our product candidate in all countries throughout the world would be prohibitively expensive, and our intellectual property rights in some countries outside the U.S. can be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the EU do not afford intellectual property protection to the same extent as the laws of the U.S. and the EU.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the EU or from selling or importing products made from our inventions in and into the U.S.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whether or not successful, could result in substantial costs and divert our efforts and resources from other aspects of our business. Moreover, such proceedings could put our patents at risk of being invalidated or held unenforceable, or interpreted narrowly, and our pending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third party or former employee or collaborator may claim an inventorship or ownership interest in one or more of our or our licensors’ patents or other proprietary or intellectual property rights. A third party could bring legal actions against us and seek monetary damages and/or enjoin clinical testing, manufacturing and marketing of the affected product or products. While we are presently unaware of any claims or assertions by third parties with respect to inventorship or ownership of our patents or other intellectual property, we cannot guarantee that a third party will not assert a claim or an interest in any of such patents or intellectual property. If we fail in defending any such claims, in addition to paying monetary damages, we may lose valuable intellectual property rights, such as exclusive ownership of, or right to use, intellectual property that is important to avexitide, AMX0035, AMX0114, or any other current or future product candidates. Further, regardless of the outcome, if we become involved in any litigation, it could consume a substantial portion of our resources, and cause a significant diversion of effort by our technical and management personnel.</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avexitide, AMX0035, AMX0114, or any other current or future product candidates.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 without infringing the intellectual property and other proprietary rights of third parties. However, our research, development and commercialization activities may be subject to claims that we infringe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avexitide, AMX0035, AMX0114, or any other current or future product candidates. If any third-party patents or patent applications are found to cover avexitide, AMX0035, AMX0114, or any other current or future product candidates or their methods of use or manufacture, we may not be free to manufacture or market such product candidates as planned without obtaining a license, which may not be available on commercially reasonable terms, or at all.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2" w:name="page73"/>
    <w:bookmarkEnd w:id="72"/>
    <w:p>
      <w:pPr>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patent infringement lawsuits in the U.S. or abroad. There may be third-party patents or patent applications with claims to materials, formulations, methods of manufacture or methods for treatment related to the composition, use or manufacture of avexitide, AMX0035, AMX0114, or any other current or future product candidates. While we perform periodic searches for relevant patents and patent applications with respect to our proprietary drug candidates, avexitide, AMX0035, AMX0114,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U.S. and abroad that is relevant to or necessary for the commercialization of avexitide, AMX0035, AMX0114, or any other current or future product candidates in any jurisdiction. Because patent applications can take many years to issue, there may be currently pending patent applications which may later result in issued patents that avexitide, AMX0035, AMX0114, or any other current or future product candidates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 product or method either do not infringe the patent claims of the relevant patent or that the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spacing w:after="0" w:line="2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If we were required to obtain a license to continue to manufacture or market the affected product, we may be required to pay substantial royalties or grant cross-licenses to our patents. We cannot, however, assure you that any such license will be available on acceptable terms, if at all. 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avexitide, AMX0035, AMX0114, or any other current or future product candidates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Some of these employees, including members of our senior management, may have executed proprietary rights, non-disclosure and non-competition agreements, or similar agreements, in connection with such previous employment. Although we try to ensure that our employees do not use the proprietary information or know-how of others in their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line="255" w:lineRule="auto"/>
        <w:rPr>
          <w:sz w:val="20"/>
          <w:szCs w:val="20"/>
          <w:color w:val="auto"/>
        </w:rPr>
      </w:pPr>
      <w:r>
        <w:rPr>
          <w:rFonts w:ascii="Times New Roman" w:cs="Times New Roman" w:eastAsia="Times New Roman" w:hAnsi="Times New Roman"/>
          <w:sz w:val="18"/>
          <w:szCs w:val="18"/>
          <w:color w:val="auto"/>
        </w:rPr>
        <w:t>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sustain damages or lose key personnel, valuable intellectual property rights or the personnel’s work product, which could hamper or prevent commercialization of our technology, which in turn could materially affect our commercial development efforts.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trademarks and our business may be adversely affected.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competitive to avexitide, AMX0035, for example a TURSO monotherapy, AMX0114 or any of our future product candidates but that are not covered by the claims of the patents that we own;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otherwise circumvent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might not have been the first to invent the inventions covered by the patents or patent applications that we own;</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might not have been the first to file patent applications covering certain of the patents or patent applications that we or they own or have obtained a license, or will own or will have obtained a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may be challenged by third parties;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enforcement is expensive and time-consuming and difficult to predict; thus we may not be able to enforce any of our patents against a competitor.</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for research and development and manufacturing requires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rely on third parties for research and development work, and expect to rely on third parties for future manufacturing of our proprietary product candidate, avexitide, AMX0035, AMX0114, and any other current or future product candidates. We also expect to collaborate with third parties on the development of avexitide, AMX0035, AMX0114, and any other current or future product candidates. As a result of the aforementioned collaborations, we must, at times, share trade secrets with our collaborators.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 secrets or confidential know-how can be difficult to maintain as confidential. 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Moreover, the enforceability of confidentiality agreements may vary from jurisdiction to jurisdiction.</w:t>
      </w:r>
    </w:p>
    <w:p>
      <w:pPr>
        <w:spacing w:after="0" w:line="19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additional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additional future product candidates, if approved, would likely be delayed.</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risks described elsewhere pertaining to our intellectual property rights also apply to the intellectual property rights that we license or may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5" w:name="page76"/>
    <w:bookmarkEnd w:id="75"/>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 Matters</w:t>
      </w:r>
    </w:p>
    <w:p>
      <w:pPr>
        <w:spacing w:after="0" w:line="22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continuously evaluating and pursuing strategic transactions, and cannot guarantee that our previous or future strategic transactions, acquisitions or business combinations pursued to further our mission to improve our underlying business performance will, in fact, produce any benefits.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anticipate completing acquisitions and business combinations in the future, although there can be no guarantee that we will do so. For example, in July 2024, we completed the acquisition of substantially all of the rights, title and interests in, to and under those assets and interests used by Eiger in the development, manufacture and commercialization of avexitide. Our ability to complete future acquisitions and business combinations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or business combination could impair our business, reputation, operating results and financial condition. The benefits of an acquisition or business combination may take more time than expected to develop or integrate into our operations, and we cannot guarantee that previous or future acquisitions or business combinations will, in fact, produce any benefits. For example, we may not receive the anticipated benefits of the acquisition of avexitide for some time. Acquisitions and business combinations may involve a number of risks, the occurrence of which could adversely affect our business, reputation, operating results and financial condition, including:</w:t>
      </w:r>
    </w:p>
    <w:p>
      <w:pPr>
        <w:spacing w:after="0" w:line="8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integrating and assimilating information and financial systems, operations, manufacturing processes and products of an acquired business or other business venture or in realizing projected efficiencies, growth prospects, cost savings, and synergies;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or develop a distribution channel for acquired product lines;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distributors, or sales representatives of the acquired businesses or adverse effects on existing business relationships with suppliers, customers, distributors, and sales representatives;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the financial results projected in our valuation models;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contracts, liabilities and other agreements associated with acquired assets, including royalty or other payments due under such agreements;</w:t>
      </w:r>
    </w:p>
    <w:p>
      <w:pPr>
        <w:spacing w:after="0" w:line="53"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or pursue other important elements of our business strategy;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by acquired businesses or other business ventures of intellectual property rights of others;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investments, undisclosed, contingent or other liabilities or problems, unanticipated costs associated with an acquisition, and an inability to recover or manage such liabilities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acquisitions and incurrence of non-recurring charges;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or other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or the Sarbanes-Oxley Act. However, we cannot be certain that these measures will ensure that we design, implement, and maintain adequate control over our financial processes and reporting in the future, especially in the context of acquisitions of other businesses, regardless of whether such acquired business was previously privately or publicly held. Any difficulties in the assimilation of acquired businesses into our control system could harm our operating results or cause us to fail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ind w:right="180"/>
        <w:spacing w:after="0" w:line="282" w:lineRule="auto"/>
        <w:rPr>
          <w:sz w:val="20"/>
          <w:szCs w:val="20"/>
          <w:color w:val="auto"/>
        </w:rPr>
      </w:pPr>
      <w:r>
        <w:rPr>
          <w:rFonts w:ascii="Times New Roman" w:cs="Times New Roman" w:eastAsia="Times New Roman" w:hAnsi="Times New Roman"/>
          <w:sz w:val="18"/>
          <w:szCs w:val="18"/>
          <w:color w:val="auto"/>
        </w:rPr>
        <w:t>meet our financial reporting obligations. These risks, among others, could be heightened if we complete a large acquisition or other business combination or multiple transactions within a relatively short period of time.</w:t>
      </w:r>
    </w:p>
    <w:p>
      <w:pPr>
        <w:spacing w:after="0" w:line="15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the National Institutes of Health, or NIH,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current U.S. administration is focused on reducing costs of the federal government generally, including significantly reducing the number of government employees at various federal agencies, including the FDA. Without appropriation of additional funding to federal agencies, our business operations related to our product development activities for the U.S. market could be impacted. The ability of the FDA to review and approve new products and NIH’s ability to conduct and partner with industry on important research can be affected by a variety of factors, including government budget and funding levels, the ability to hire and retain key personnel and accept the payment of user fees, layoffs,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including executive and congressional priorities, which is inherently fluid and unpredictable.</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as resulting in delays in the FDA’s responsiveness or in its ability to review IND submissions or marketing applications, issue regulations or guidance, or implement or enforce regulatory requirements in a timely fashion or at all.</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is also substantial uncertainty as to how regulatory reform measures being implemented by the current administration, and other political developments, such as government shutdowns or work stoppages, would impact other U.S. regulatory agencies, such as the FDA, SEC, the Internal Revenue Service, and USPTO, on which our operations rely. For example, over the last several years and most recently in October 2025, the U.S. government has shut down and certain regulatory agencies, such as the FDA and the SEC, have had to furlough critical employees and stop critical activities. In addition, the current U.S. administration has proposed substantial reductions in force at various government agencies that, if applied in a material way, could significantly reduce the FDA’s and other agencies’ capacities to perform their functions in a manner consistent with past practices. If a future U.S. federal government shutdown occurs, is prolonged, or if the FDA, NIH, SEC or the USPTO experiences significant decreases in funding or personnel, it could significantly impact the ability of the FDA to issue licenses needed for conduct of our clinical trials, the NIH to conduct research or provide grants, and the abilities of the FDA and the USPTO to timely review and process our regulatory submissions, which could have a material adverse effect on our business and our timelines. Further, future government shutdowns could impact our ability to access the public markets and obtain necessary capital in order to properly capitalize and continue our operations. Critical government functions could be affected, causing delays that impact the broader market. For instance, the Bureau of Labor Statistics and other agencies might pause the release of key economic indicators, which could increase market volatility.</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have been evolving regulatory activities and policy changes, and there continues to be uncertainty as to the extent and manner in which the Trump administration will continue to modify or revise the requirements and policies of the FDA and other regulatory agencies with jurisdiction over our product candidates and any products for which we obtain approval. This uncertainty could continue to present new challenges and/or opportunities as we navigate development and approval of our product candidates. Additionally, the current U.S. government could continue to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principal consultants and others, and the loss of their services would materially harm our business.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hire and retain the services of our current executive officers, principal consultants and others. We have entered into employment agreements with our current executive officers, but they may terminate their employment with us at any time. The loss of their services might impede the achievement of our research, development and commercialization objectives.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which has also impacted our company. For example, in February 2024, our then Chief Human Resource Officer, Debra Canner, was replaced by Linda Arsenault as our current Chief Human Resource Officer.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avexitide, AMX0035, AMX0114, AMX0318 or any other current or future product candidates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only have a limited number of employees to manage and operate our business.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implemented a restructuring plan, or the Restructuring Plan, to reduce our workforce by 70% in April 2024. Our Restructuring Plan and our focus on research and the development of our product candidates requires us to optimize cash utilization and to manage and operate our business in a highly efficient manner. We cannot assure you that we will be able to hire and/or retain adequate staffing levels to develop our product candidates or to run our operations and/or to accomplish all of the objectives that we otherwise would seek to accomplish.</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w:t>
      </w:r>
    </w:p>
    <w:p>
      <w:pPr>
        <w:spacing w:after="0" w:line="68" w:lineRule="exact"/>
        <w:rPr>
          <w:sz w:val="20"/>
          <w:szCs w:val="20"/>
          <w:color w:val="auto"/>
        </w:rPr>
      </w:pPr>
    </w:p>
    <w:p>
      <w:pPr>
        <w:ind w:left="1020" w:right="2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or similar regulations of comparable non-U.S. regulatory authorities, including those laws requiring the reporting of true, complete and accurate information to such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marketing,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7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which has been significantly impacted by geopolitical instability, ongoing military conflicts, including the ongoing war between Russia and Ukraine, ongoing conflicts in the Middle East, the evolving regulatory activities and policy changes under the current U.S. government, events related thereto, and changes in inflation and interest rates, any of which could have a material adverse effect on our business, financial condition and results of operations.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U.S. and global markets have recently been experiencing volatility and disruption caused by economic uncertainty, including as a result of geopolitical instability, ongoing military conflicts, the evolving regulatory activities and economic policies under the current U.S. government, events related thereto, such as changes to candidates or political unrest or otherwise, and high inflation and interest rates. Although the length and impact of the ongoing military conflicts is highly unpredictable, the ongoing conflicts between Russia and Ukraine, the U.S. and Iran, and in the Middle East have led to market disruptions, including significant volatility in commodity prices, credit and capital markets, as well as supply chain interruptions, which contributed to record inflation globally. We are continuing to monitor inflation, the situations in Ukraine and the Middle East and global capital markets and assessing their potential impact on our business, including the impact on the supply chains we rely on for the manufacture of avexitide, AMX0035, AMX0114, AMX0318 or any other current or future product candidates.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events described above, it is impossible to predict the extent to which our operations will be impacted in the short and long term, or the ways in which such matters may impact our business. The extent and duration of the events described above and resulting market disruptions are impossible to predict but could be substantial. Any such disruptions may also magnify the impact of other risks we face.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in affected markets. Supply chain disruptions and delays as a result of any new tariff policies or trade restrictions could also negatively impact our cost of materials and production processes. If we are unable to obtain these chemical or biological intermediates in sufficient quantity and in a timely manner due to disruptions in the global supply chain caused by macroeconomic events and conditions, the development, testing and clinical trials of avexitide, AMX0035, AMX0114, AMX0318 or any other current or future product candidates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79" w:name="page80"/>
    <w:bookmarkEnd w:id="79"/>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For example, from January 7, 2022, the first day that our stock traded on the Nasdaq Global Select Market, through March 31, 2026, our stock has traded within a range of a high price of $41.93 and a low price of $1.58 per share. In addition to the factors discussed in this “Risk Factors” section and elsewhere in this Quarterly Report, these factors include:</w:t>
      </w:r>
    </w:p>
    <w:p>
      <w:pPr>
        <w:spacing w:after="0" w:line="72" w:lineRule="exact"/>
        <w:rPr>
          <w:sz w:val="20"/>
          <w:szCs w:val="20"/>
          <w:color w:val="auto"/>
        </w:rPr>
      </w:pPr>
    </w:p>
    <w:p>
      <w:pPr>
        <w:ind w:left="1020" w:right="1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future preclinical studies and clinical trials, or any future preclinical studies or clinical trials, we may conduct of avexitide, AMX0035, AMX0114, AMX0318 and any other current or future product candidates, or changes in the development status of our current and any future product candidates;</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regulatory submissions for avexitide, AMX0035, AMX0114, AMX0318 or any other current or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approvals for avexitide, AMX0035 and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current or future product candidates,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current or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commercialize avexitide, AMX0035 and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avexitide, AMX0035, AMX0114, AMX0318 and any other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 and rate of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0" w:name="page81"/>
    <w:bookmarkEnd w:id="80"/>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geographical, and economic conditions, including the impact of global health crises such as the COVID-19 pandemic, historically high inflation, fluctuating interest rates, the ongoing wars in Ukraine and the Middle East and the legislative changes under the current U.S. government and accompanying regulatory activities and economic policies;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or market volatility resulting from national or global economic conditions, including those affecting the financial services industry, could adversely affect our business, financial condition or results of operations.</w:t>
      </w:r>
    </w:p>
    <w:p>
      <w:pPr>
        <w:spacing w:after="0" w:line="1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Adverse macroeconomic conditions or market volatility resulting from national or global economic developments, political unrest, high inflation, fluctuating interest rates, international tariffs, changes in international trade relationships and military conflicts, such as the ongoing conflicts between Russia and Ukraine, the U.S. and Iran, and in the Middle East, significant changes in U.S. policies and regulatory environment and other factors, could materially and adversely affect our business operations.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For example, in early 2025, the U.S. imposed blanket 10% tariffs on virtually all imports to the U.S. and significantly higher tariffs applicable to imports from many countries, which have resulted in other countries imposing additional tariffs on imports from the U.S., and is likely to continue to result in more retaliatory tariffs.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Trump administration continued to broadly impose tariffs, which could lead to corresponding punitive actions by the countries with which the U.S. trades. While certain tariffs have been suspended, modified or temporarily reduced, we cannot predict the results of the U.S. government’s trade negotiations or the outcome of ongoing legal challenges to specific tariff policies. There can be no assurance that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In addition, any deterioration in the macro-economy or financial services industry could lead to losses or defaults by our suppliers, which in turn, could have a material adverse effect on our current and/or planned business operations and our current or projected results of operations and financial condition.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A severe or prolonged economic downturn or additional global financial crises could result in a variety of risks to our business, including weakened demand for any product candidates we develop or our ability to raise additional capital when needed on acceptable terms, if at all.</w:t>
      </w:r>
    </w:p>
    <w:p>
      <w:pPr>
        <w:spacing w:after="0" w:line="20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Further, U.S. government appropriations have been affected by larger U.S. government budgetary issues and related legislation. Government spending levels are difficult to predict beyond the near term due to numerous factors, including the external threat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environment, future government priorities and the state of government finances. Significant changes in government spending or changes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priorities, policies and requirements could have a material adverse effect on our results of operations, financial condition or liquidity.</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could adversely impact our business.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and the reduced compliance requirements applicable to emerging growth companies no longer apply to us.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no longer qualify as an emerging growth company as defined in the Jumpstart Our Business Startups Act of 2012, or the JOBS Act, and as such we no longer are entitled to rely on exemptions from certain compliance requirements that are applicable to companies that are emerging growth companies. These requirements include, but are not limited to:</w:t>
      </w:r>
    </w:p>
    <w:p>
      <w:pPr>
        <w:spacing w:after="0" w:line="68" w:lineRule="exact"/>
        <w:rPr>
          <w:sz w:val="20"/>
          <w:szCs w:val="20"/>
          <w:color w:val="auto"/>
        </w:rPr>
      </w:pPr>
    </w:p>
    <w:p>
      <w:pPr>
        <w:ind w:left="1020" w:right="2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 independent registered public accounting firm to provide an attestation report on our internal controls over financial reporting pursuant to Section 404(b) of the Sarbanes-Oxley 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certain executive compensation matters to stockholder advisory votes;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 compensation discussion and analysis, including disclosure regarding certain executive compensation related items such as the correlation between executive compensation and performance and comparisons of the chief executive officer’s compensation to median employee compensation.</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no longer able to take advantage of cost savings associated with the JOBS Act. Furthermore, if the additional requirements applicable to non-emerging growth companies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Furthermore, if we are unable to satisfy our obligations as a non-emerging growth company, we could be subject to delisting of our common stock, fines, sanctions and other regulatory action and potentially civil litigation.</w:t>
      </w:r>
    </w:p>
    <w:p>
      <w:pPr>
        <w:spacing w:after="0" w:line="18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commencing December 31, 2025, we became a non-accelerated filer due to our public float at June 30, 2025. We cannot be certain if the reduced reporting requirements applicable to smaller reporting companies or non-accelerated filers will make our common stock less attractive to investors.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Based on the market value of our common stock that was held by non-affiliates as of June 30, 2024, we became an accelerated filer, rather than a large accelerated filer, and we regained smaller reporting company status effective as of December 31, 2024 and have been able to avail ourselves of the reduced disclosure requirements. As a smaller reporting company, we are permitted and will rely on reduced disclosure requirements that are applicable to other public companies that are smaller reporting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supplemental financial information or risk factors. Despite status effectiveness at December 31, 2024, due to requalification we have been able to rely on these reduced requirements since June 30, 2024.</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based on the market value of our common stock that was held by non-affiliates as of June 30, 2025, we are a non-accelerated filer in fiscal year 2026. For as long as we continue to be a non-accelerated filer, we may choose to take advantage of not being required to have our independent registered public accounting firm audit our internal control over financial reporting under Section 404(b) of SOX. Pursuant to Section 404(a) of SOX, we are required to furnish a report by our management on our internal control over financial reporting. However, beginning with our 2025 Annual Report and while we remain a non-accelerated filer, we will not be required to include an attestation report issued by our independent registered public accounting firm on the effectiveness of our internal control over financial reporting.</w:t>
      </w:r>
    </w:p>
    <w:p>
      <w:pPr>
        <w:spacing w:after="0" w:line="18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because we may rely on some or all of these exemptions. If some investors find our common stock less attractive as a result, there may be a less active trading market for our common stock and our stock price may be more volatile.</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decline significantly, even if our business is doing well.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April 27, 2026, we had outstanding 111,186,317 shares of common stock, which may be resold in the public market immediately without restriction, unless held by our affiliates.</w:t>
      </w:r>
    </w:p>
    <w:p>
      <w:pPr>
        <w:spacing w:after="0" w:line="17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plan to retain all of our recent or any future earnings, if any, to finance the operation, development and growth of our business. In addition, the terms of any future debt or credit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common stock, own a significant portion of our common stock. As a result, these stockholders acting together, could be able to significantly influence all matters submitted to our stockholders for approval, as well as our management and affairs. For example, these stockholders, if they choose to act together, could significantly influence the election of directors and approval of any merger, consolidation or sale of all or substantially all of our assets. This may prevent or discourage unsolicited acquisition proposals or offers for our common stock that our stockholders may feel are in their best interest.</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amended and restated bylaws, or our bylaws, could make a merger, tender offer or proxy contest difficult, thereby depressing the trading price of our common stock.</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72" w:lineRule="exact"/>
        <w:rPr>
          <w:sz w:val="20"/>
          <w:szCs w:val="20"/>
          <w:color w:val="auto"/>
        </w:rPr>
      </w:pPr>
    </w:p>
    <w:p>
      <w:pPr>
        <w:ind w:left="1020" w:right="4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or any individual director may only be removed with cause and the affirmative vote of the holders of at least 66-2/3% of the voting power of all of our then-outstanding common stock;</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board of directors pursuant to a resolution adopted by a majority of the total number of authorized directors; and</w:t>
      </w:r>
    </w:p>
    <w:p>
      <w:pPr>
        <w:spacing w:after="0" w:line="53"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Court of Chancery of the State of Delaware is the sole and exclusive forum for the following types of actions or proceedings under state, statutory and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certificate of incorporation or our bylaws; (iv) any action or proceeding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left="1020"/>
        <w:spacing w:after="0" w:line="254" w:lineRule="auto"/>
        <w:rPr>
          <w:sz w:val="20"/>
          <w:szCs w:val="20"/>
          <w:color w:val="auto"/>
        </w:rPr>
      </w:pPr>
      <w:r>
        <w:rPr>
          <w:rFonts w:ascii="Times New Roman" w:cs="Times New Roman" w:eastAsia="Times New Roman" w:hAnsi="Times New Roman"/>
          <w:sz w:val="18"/>
          <w:szCs w:val="18"/>
          <w:color w:val="auto"/>
        </w:rPr>
        <w:t>interpret, apply, enforce or determine the validity of our certificate of incorporation or our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provided these provisions of our certificate of incorporation and bylaws will not apply to suits brought to enforce a duty or liability created by the Exchange Act, or any other claim for which the federal courts have exclusive jurisdiction; and provided that, unless we consent in writing to the selection of an alternative forum, to the fullest extent permitted by law, the federal district courts of the U.S. shall be the exclusive forum for the resolution of any complaint asserting a cause of action arising under the Securities Act.</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Section 404, our management is required to assess and report annually on the effectiveness of our internal control over financial reporting and to identify any material weaknesses in our internal control over financial reporting. As a result of no longer qualifying as an emerging growth company as defined in the JOBS Act and becoming a large accelerated filer, we were also required to comply with, among other requirements, the auditor attestation requirements of Section 404(b). As we are a non-accelerated filer in fiscal year 2026, beginning with our 2025 Annual Report and while we remain a non-accelerated filer, we will not be required to include an attestation report issued by our independent registered public accounting firm on the effectiveness of our internal control over financial reporting, though we may choose to voluntarily provide such attestation report.</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Preparing such attestation report and the cost of compliance with reporting requirements has and will continue to increase our expenses and require significant management time. Investors may find our common stock less attractive because of the additional compliance costs.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continue upgrading systems, including information technology, implementing additional financial and management controls, reporting systems, and procedures, and hiring additional accounting and finance staff.</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4" w:name="page85"/>
    <w:bookmarkEnd w:id="84"/>
    <w:p>
      <w:pPr>
        <w:ind w:right="100"/>
        <w:spacing w:after="0" w:line="266" w:lineRule="auto"/>
        <w:rPr>
          <w:sz w:val="20"/>
          <w:szCs w:val="20"/>
          <w:color w:val="auto"/>
        </w:rPr>
      </w:pPr>
      <w:r>
        <w:rPr>
          <w:rFonts w:ascii="Times New Roman" w:cs="Times New Roman" w:eastAsia="Times New Roman" w:hAnsi="Times New Roman"/>
          <w:sz w:val="18"/>
          <w:szCs w:val="18"/>
          <w:color w:val="auto"/>
        </w:rPr>
        <w:t>Our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bylaws;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certificate of incorporation or our bylaws;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if we are able to obtain marketing approval of any of avexitide, AMX0035, AMX0114, AMX0318 or any other current or future product candidates,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our public offerings.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our 2022 Stock Option and Incentive Plan, or the 2022 Plan, our management is authorized to grant stock options to our employees, directors and consultants. Additionally, the number of shares of our common stock reserved for issuance under our 2022 Plan will automatically increase on January 1 of each year, beginning on January 1, 2023 and continuing through and including January 1, 2032, by 5.0% of the total number of shares of our capital stock outstanding on December 31 of the preceding calendar year, or a lesser number of shares determined by our board of directors. In addition, pursuant to our 2022 Employee Stock Purchase Plan, the number of shares of our common stock reserved for issuance will automatically increase on January 1 of each calendar year, beginning on January 1, 2023 (through January 1, 2032), by the lesser of (i) 1.0% of the total number of shares of our common stock outstanding on the last day of the calendar month before the date of the automatic increase, and (ii) 1,210,000 shares; provided that before the date of any such increase, our board of directors may determine that such increase will be less than the amount set forth in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clauses (i) and (ii). Unless our board of directors elects not to increase the number of shares available for future grant each year, our stockholders may experience additional dilution, which could cause our stock price to fall.</w:t>
      </w:r>
    </w:p>
    <w:p>
      <w:pPr>
        <w:spacing w:after="0" w:line="16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5" w:right="77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00" w:lineRule="exact"/>
        <w:rPr>
          <w:sz w:val="20"/>
          <w:szCs w:val="20"/>
          <w:color w:val="auto"/>
        </w:rPr>
      </w:pPr>
    </w:p>
    <w:p>
      <w:pPr>
        <w:spacing w:after="0" w:line="24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compliance initiatives.</w:t>
      </w:r>
    </w:p>
    <w:p>
      <w:pPr>
        <w:spacing w:after="0" w:line="15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and ongoing legal, accounting, and other expenses, particularly now that we are no longer an emerging growth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Moreover, since we ceased to be an emerging growth company, we may no longer take advantage of certain exemptions from various reporting requirements that are applicable to public companies. This increase in reporting requirements will further increase our compliance burden. We expect to continue to incur substantial costs to comply with the rules and regulations applicable to public companies.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Cyber-attacks, data breaches, or other failures in our telecommunications or IT systems, or those of our collaborators, CROs, third-party logistics providers, distributors or other contractors or consultants, could result in information theft, data corruption, significant disruption of our business operations, and reputational damage.</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our collaborators, our CROs, third-party logistics providers, distributors and other contractors and consultants utilize IT systems and networks to process, transmit and store electronic information in connection with our business activities. As use of digital technologies has increased, cyber incidents, including third parties gaining access to employee accounts using stolen or inferred credentials, ransomware, computer malware, viruses, denial-of-service, social engineering, spamming or other means, insider threats, and deliberate attacks and attempts to gain unauthorized access to computer systems and networks, have generally been increasing in frequency and sophistication. Cyber-attacks also could include phishing attempts or e-mail fraud to, for example, cause payments or information to be transmitted to an unintended recipient. Like other companies in our industry, we and some of our third-party collaborators have in the past and may in the future experience cyber security attacks.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or to which they have access. Any cyber-attack, data breach, security incident or destruction, misuse, or loss of data could require us to notify impacted stakeholders (including affected individuals, regulators, and investors),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cybersecurity insurance, general liability insurance and corporate risk program may not cover all potential claims to which we are exposed and may not be adequate to indemnify us for all liability that maybe imposed and could have a material adverse effect on our business and prospects. For example, the loss of clinical trial data from completed, ongoing or future clinical trials for avexitide, AMX0035 or any of our future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or incidents and may incur reputational harm and significant additional expense, including to implement further data protection or remedial measures, from fines and penalties or other liability, and from loss of existing and future business. Further,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research and development credits to offset future taxable income may be subject to certain limitations.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2025, we had U.S. federal net operating loss, or NOL, carryforwards of $362.1 million that carry forward indefinitely. The amount of annual utilization of these NOL carryforwards may be limited based on provisions of the Tax Cuts and Jobs Act of 2017, or TCJA. As of December 31, 2025, we also had U.S. federal research and development tax credit carryforwards of $16.1 million and we have additionally recorded deferred tax assets for U.S. state NOL and research and development tax credit carryforwards of $22.9 million. These U.S. federal research and development tax credit and U.S. state carryforwards could begin to expire if unused in 2042 and 2035, respectively. Utilization of all NOL and research and development tax credit carryforwards is conditioned upon us generating U.S. federal and state taxable income.</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Ownership changes occurred in the years ended December 31, 2016 and 2023. In general, under Sections 382 and 383 of the IRC, and corresponding provisions of state law, a corporation that undergoes an ownership change is subject to limitations on its ability to utilize its pre-change NOL or tax credit carryforwards to offset future taxable income. For these purposes, an ownership change generally occurs where the aggregate stock ownership of one or more stockholders or groups of stockholders who owns at least five percent of a corporation’s stock increases its ownership by more than 50 percentage points over its lowest ownership percentage within a specified testing period. Future changes in our stock ownership, many of which are outside of our control, could result in an ownership change under Sections 382 and 383 of the IRC. Our existing federal and state NOL and research and development tax credit carryforwards may be subject to limitations arising from these future ownership changes. Accordingly, we may not be able to utilize a material portion of these carryforwards.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involved in securities class action litigation and could be subject to additional securities class action litigation in the future.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Such litigation could result in substantial costs and a diversion of management’s attention and resources, which could harm our business. For further information, see “</w:t>
      </w:r>
      <w:r>
        <w:rPr>
          <w:rFonts w:ascii="Times New Roman" w:cs="Times New Roman" w:eastAsia="Times New Roman" w:hAnsi="Times New Roman"/>
          <w:sz w:val="18"/>
          <w:szCs w:val="18"/>
          <w:i w:val="1"/>
          <w:iCs w:val="1"/>
          <w:color w:val="auto"/>
        </w:rPr>
        <w:t>Item 1. -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minimum bid price requirement or prevent future non-compliance with the listing requirements of the Nasdaq Global Select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stock, the price of our stock could decline.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industry or securities analysts publish about us or our business. If one or more of the analysts who may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officers or directors of the Company (as defined in Rule 16a-1(f) under the Exchange Act) adopted, modified or terminated a “Rule 10b5-1 trading arrangement” or a “non-Rule 10b5-1 trading arrangement,” as each term is defined in Item 408(c) of Regulation S-K of the Exchange Act.</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7"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80" w:type="dxa"/>
            <w:vAlign w:val="bottom"/>
            <w:gridSpan w:val="9"/>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1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Fourth Amended and Restated Certificate of Incorporation of Amylyx Pharmaceuticals, Inc. (Incorporated by reference to Exhibit 3.1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Registrant’s Current Report on Form 8-K filed with the Securities and Exchange Commission on January 11,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Second Amended and Restated Bylaws of Amylyx Pharmaceuticals, Inc. (Incorporated by reference to Exhibit 3.2 to the Registrant’s</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Current Report on Form 8-K filed with the Securities and Exchange Commission on January 11, 2022).</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6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6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7"/>
                <w:szCs w:val="17"/>
                <w:color w:val="auto"/>
              </w:rPr>
            </w:pPr>
          </w:p>
        </w:tc>
        <w:tc>
          <w:tcPr>
            <w:tcW w:w="96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7"/>
                <w:szCs w:val="17"/>
                <w:color w:val="auto"/>
              </w:rPr>
            </w:pPr>
          </w:p>
        </w:tc>
        <w:tc>
          <w:tcPr>
            <w:tcW w:w="100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jc w:val="both"/>
        <w:ind w:right="100" w:firstLine="8"/>
        <w:spacing w:after="0" w:line="255" w:lineRule="auto"/>
        <w:tabs>
          <w:tab w:leader="none" w:pos="1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Joshua B. Cohen</w:t>
            </w:r>
          </w:p>
        </w:tc>
      </w:tr>
      <w:tr>
        <w:trPr>
          <w:trHeight w:val="191"/>
        </w:trPr>
        <w:tc>
          <w:tcPr>
            <w:tcW w:w="3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Joshua B. Cohen</w:t>
            </w:r>
          </w:p>
        </w:tc>
      </w:tr>
      <w:tr>
        <w:trPr>
          <w:trHeight w:val="234"/>
        </w:trPr>
        <w:tc>
          <w:tcPr>
            <w:tcW w:w="3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32"/>
        </w:trPr>
        <w:tc>
          <w:tcPr>
            <w:tcW w:w="3460" w:type="dxa"/>
            <w:vAlign w:val="bottom"/>
          </w:tcPr>
          <w:p>
            <w:pPr>
              <w:spacing w:after="0"/>
              <w:rPr>
                <w:sz w:val="24"/>
                <w:szCs w:val="24"/>
                <w:color w:val="auto"/>
              </w:rPr>
            </w:pP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Justin B. Klee</w:t>
            </w:r>
          </w:p>
        </w:tc>
      </w:tr>
      <w:tr>
        <w:trPr>
          <w:trHeight w:val="191"/>
        </w:trPr>
        <w:tc>
          <w:tcPr>
            <w:tcW w:w="3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Justin B. Klee</w:t>
            </w:r>
          </w:p>
        </w:tc>
      </w:tr>
      <w:tr>
        <w:trPr>
          <w:trHeight w:val="234"/>
        </w:trPr>
        <w:tc>
          <w:tcPr>
            <w:tcW w:w="3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32"/>
        </w:trPr>
        <w:tc>
          <w:tcPr>
            <w:tcW w:w="3460" w:type="dxa"/>
            <w:vAlign w:val="bottom"/>
          </w:tcPr>
          <w:p>
            <w:pPr>
              <w:spacing w:after="0"/>
              <w:rPr>
                <w:sz w:val="24"/>
                <w:szCs w:val="24"/>
                <w:color w:val="auto"/>
              </w:rPr>
            </w:pP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M. Frates</w:t>
            </w:r>
          </w:p>
        </w:tc>
      </w:tr>
      <w:tr>
        <w:trPr>
          <w:trHeight w:val="191"/>
        </w:trPr>
        <w:tc>
          <w:tcPr>
            <w:tcW w:w="3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James M. Frates</w:t>
            </w:r>
          </w:p>
        </w:tc>
      </w:tr>
      <w:tr>
        <w:trPr>
          <w:trHeight w:val="234"/>
        </w:trPr>
        <w:tc>
          <w:tcPr>
            <w:tcW w:w="3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648"/>
        </w:trPr>
        <w:tc>
          <w:tcPr>
            <w:tcW w:w="34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89</w:t>
            </w:r>
          </w:p>
        </w:tc>
        <w:tc>
          <w:tcPr>
            <w:tcW w:w="514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B. Cohen, certify that:</w:t>
      </w:r>
    </w:p>
    <w:p>
      <w:pPr>
        <w:spacing w:after="0" w:line="117"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Amylyx Pharmaceuticals,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040" w:right="100" w:hanging="505"/>
        <w:spacing w:after="0" w:line="266" w:lineRule="auto"/>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40" w:right="120" w:hanging="505"/>
        <w:spacing w:after="0" w:line="266" w:lineRule="auto"/>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40" w:right="220" w:hanging="505"/>
        <w:spacing w:after="0" w:line="266" w:lineRule="auto"/>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040" w:right="280" w:hanging="505"/>
        <w:spacing w:after="0" w:line="266" w:lineRule="auto"/>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040" w:right="460" w:hanging="505"/>
        <w:spacing w:after="0" w:line="266" w:lineRule="auto"/>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40" w:right="20" w:hanging="505"/>
        <w:spacing w:after="0" w:line="282" w:lineRule="auto"/>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b w:val="1"/>
                <w:bCs w:val="1"/>
                <w:color w:val="auto"/>
                <w:w w:val="99"/>
              </w:rPr>
              <w:t>Joshua B. Cohen</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Joshua B. Cohen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B. Klee, certify that:</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Amylyx Pharmaceuticals,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040" w:right="100" w:hanging="505"/>
        <w:spacing w:after="0" w:line="266" w:lineRule="auto"/>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40" w:right="120" w:hanging="505"/>
        <w:spacing w:after="0" w:line="266" w:lineRule="auto"/>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40" w:right="220" w:hanging="505"/>
        <w:spacing w:after="0" w:line="266" w:lineRule="auto"/>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040" w:right="280" w:hanging="505"/>
        <w:spacing w:after="0" w:line="266" w:lineRule="auto"/>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040" w:right="460" w:hanging="505"/>
        <w:spacing w:after="0" w:line="266" w:lineRule="auto"/>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40" w:right="20" w:hanging="505"/>
        <w:spacing w:after="0" w:line="282" w:lineRule="auto"/>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Justin B. Klee</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Justin B. Klee</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 Frates, certify that:</w:t>
      </w:r>
    </w:p>
    <w:p>
      <w:pPr>
        <w:spacing w:after="0" w:line="11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Amylyx Pharmaceuticals,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040" w:right="100" w:hanging="505"/>
        <w:spacing w:after="0" w:line="266" w:lineRule="auto"/>
        <w:tabs>
          <w:tab w:leader="none" w:pos="2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40" w:right="120" w:hanging="505"/>
        <w:spacing w:after="0" w:line="266" w:lineRule="auto"/>
        <w:tabs>
          <w:tab w:leader="none" w:pos="2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2040" w:right="220" w:hanging="505"/>
        <w:spacing w:after="0" w:line="266" w:lineRule="auto"/>
        <w:tabs>
          <w:tab w:leader="none" w:pos="2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040" w:right="280" w:hanging="505"/>
        <w:spacing w:after="0" w:line="266" w:lineRule="auto"/>
        <w:tabs>
          <w:tab w:leader="none" w:pos="2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040" w:right="460" w:hanging="505"/>
        <w:spacing w:after="0" w:line="266" w:lineRule="auto"/>
        <w:tabs>
          <w:tab w:leader="none" w:pos="2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40" w:right="20" w:hanging="505"/>
        <w:spacing w:after="0" w:line="282" w:lineRule="auto"/>
        <w:tabs>
          <w:tab w:leader="none" w:pos="2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James M. Frates</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James M. Frates</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Amylyx Pharmaceuticals,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b w:val="1"/>
                <w:bCs w:val="1"/>
                <w:color w:val="auto"/>
                <w:w w:val="99"/>
              </w:rPr>
              <w:t>Joshua B. Cohen</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Joshua B. Cohen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Amylyx Pharmaceuticals,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Justin B. Klee</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Justin B. Klee</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Amylyx Pharmaceuticals,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James M. Frates</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James M. Frates</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1."/>
      <w:numFmt w:val="decimal"/>
      <w:start w:val="7"/>
    </w:lvl>
  </w:abstractNum>
  <w:abstractNum w:abstractNumId="6">
    <w:nsid w:val="440BADFC"/>
    <w:multiLevelType w:val="hybridMultilevel"/>
    <w:lvl w:ilvl="0">
      <w:lvlJc w:val="left"/>
      <w:lvlText w:val="%1."/>
      <w:numFmt w:val="decimal"/>
      <w:start w:val="9"/>
    </w:lvl>
  </w:abstractNum>
  <w:abstractNum w:abstractNumId="7">
    <w:nsid w:val="5072367"/>
    <w:multiLevelType w:val="hybridMultilevel"/>
    <w:lvl w:ilvl="0">
      <w:lvlJc w:val="left"/>
      <w:lvlText w:val="%1."/>
      <w:numFmt w:val="decimal"/>
      <w:start w:val="10"/>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lvl w:ilvl="1">
      <w:lvlJc w:val="left"/>
      <w:lvlText w:val="%2."/>
      <w:numFmt w:val="lowerRoman"/>
      <w:start w:val="1"/>
    </w:lvl>
  </w:abstractNum>
  <w:abstractNum w:abstractNumId="59">
    <w:nsid w:val="61574095"/>
    <w:multiLevelType w:val="hybridMultilevel"/>
    <w:lvl w:ilvl="0">
      <w:lvlJc w:val="left"/>
      <w:lvlText w:val="%1."/>
      <w:numFmt w:val="decimal"/>
      <w:start w:val="1"/>
    </w:lvl>
    <w:lvl w:ilvl="1">
      <w:lvlJc w:val="left"/>
      <w:lvlText w:val="%2."/>
      <w:numFmt w:val="lowerRoman"/>
      <w:start w:val="1"/>
    </w:lvl>
  </w:abstractNum>
  <w:abstractNum w:abstractNumId="60">
    <w:nsid w:val="7E0C57B1"/>
    <w:multiLevelType w:val="hybridMultilevel"/>
    <w:lvl w:ilvl="0">
      <w:lvlJc w:val="left"/>
      <w:lvlText w:val="%1."/>
      <w:numFmt w:val="decimal"/>
      <w:start w:val="1"/>
    </w:lvl>
    <w:lvl w:ilvl="1">
      <w:lvlJc w:val="left"/>
      <w:lvlText w:val="%2."/>
      <w:numFmt w:val="lowerRoman"/>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05" Type="http://schemas.openxmlformats.org/officeDocument/2006/relationships/hyperlink" Target="https://www.sec.gov/Archives/edgar/data/1658551/000119312522006731/d273128dex31.htm" TargetMode="External"/><Relationship Id="rId206" Type="http://schemas.openxmlformats.org/officeDocument/2006/relationships/hyperlink" Target="https://www.sec.gov/Archives/edgar/data/1658551/000119312522006731/d27312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2026-05-07T06:15:02Z</dcterms:created>
  <dcterms:modified xsi:type="dcterms:W3CDTF">2026-05-07T06:15:02Z</dcterms:modified>
</cp:coreProperties>
</file>